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VOR BIOPHARMA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22"/>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001-39979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81-1591163</w:t>
            </w:r>
          </w:p>
        </w:tc>
      </w:tr>
      <w:tr>
        <w:trPr>
          <w:trHeight w:val="149"/>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500 Boylston Street, Suite 1350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02116</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617 655-6580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April 16, 2026, the Board of Directors (the “Board”) of Vor Biopharma Inc. (the “Company”) adopted an amendment and restatement of the Vor Biopharma Inc. Amended and Restated 2021 Equity Incentive Plan (the “2021 Plan” and as further amended and restated, the “Amended 2021 Plan”), subject to stockholder approval. The 2021 Plan provides that the number of shares reserved for issuance thereunder automatically increases on each January 1 by 4% of the number of issued and outstanding shares of the Company’s common stock (“Common Stock”) outstanding on December 31 of the preceding calendar year, through calendar year 2035 (the “Evergreen Provision”). The Amended 2021 Plan amends the 2021 Plan to, among other things,</w:t>
      </w:r>
    </w:p>
    <w:p>
      <w:pPr>
        <w:spacing w:after="0" w:line="3" w:lineRule="exact"/>
        <w:rPr>
          <w:sz w:val="20"/>
          <w:szCs w:val="20"/>
          <w:color w:val="auto"/>
        </w:rPr>
      </w:pPr>
    </w:p>
    <w:p>
      <w:pPr>
        <w:ind w:right="120" w:firstLine="8"/>
        <w:spacing w:after="0" w:line="252"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Evergreen Provision to provide that the number of shares of Common Stock to be added to the share reserve by operation of the Evergreen Provision on January 1 of a given year will be based on the sum, as of December 31 of the preceding year, of both issued and outstanding shares of Common Stock and shares of Common Stock issuable upon the exercise of any pre-funded warrants and (ii) provide that, unless otherwise set forth in an award agreement, outstanding and unvested time-based awards under the Amended 2021 Plan will become fully vested if the continuous service of a participant who is an employee is terminated due to such participant’s death. The Board submitted the Amended 2021 Plan for stockholder approval at the 2026 Annual Meeting of Stockholders of the Company held on June 11, 2026 (the “Annual Meeting”). The Company’s stockholders approved the Amended 2021 Plan at the Annual Meeting.</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2021 Plan is qualified in its entirety by the text of the Amended 2021 Plan, a copy of which is attached as Exhibit 10.1 to this Current Report on Form 8-K and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the Annual Meeting, the Company’s stockholders voted on the three proposals set forth below. There were 34,012,004 shares of Common Stock present or represented at the Annual Meeting by valid proxies, which was approximately 62.77% of the shares of Common Stock entitled to vote at the Annual Meeting. A more detailed description of each proposal is set forth in the Company’s definitive proxy statement on Schedule 14A, filed with the Securities and Exchange Commission on April 27, 2026. The final voting results for each proposal are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Two Class II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Levin, M.D., Ph.D. and Fouad Namouni, M.D. were each elected to serve as a member of the Board until the 2029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until his successor is duly elected or qualified, or, if sooner, until the director’s death, resignation or removal, by the following votes: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w:t>
            </w: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6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1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Levin, M.D., Ph.D.</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25,797,081</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120,813</w:t>
            </w:r>
          </w:p>
        </w:tc>
        <w:tc>
          <w:tcPr>
            <w:tcW w:w="214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7,094,110</w:t>
            </w: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Fouad Namouni, M.D.</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22,825938</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4,091956</w:t>
            </w: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7,094,110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Amendment and Restatement of the Company's Amended and Restated 2021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the Amended 2021 Plan by the following votes.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5"/>
              </w:rPr>
              <w:t>For</w:t>
            </w:r>
          </w:p>
        </w:tc>
        <w:tc>
          <w:tcPr>
            <w:tcW w:w="2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6"/>
              </w:rPr>
              <w:t>Against</w:t>
            </w:r>
          </w:p>
        </w:tc>
        <w:tc>
          <w:tcPr>
            <w:tcW w:w="22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2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3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20,146,430</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6,767,428</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4,036</w:t>
            </w:r>
          </w:p>
        </w:tc>
        <w:tc>
          <w:tcPr>
            <w:tcW w:w="226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7,094,110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Ratification of Selection of Independent Registered Public Accounting Firm</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Stockholders ratified the selection by the Audit Committee of the Board of Ernst &amp; Young LLP as the Company’s independent registered public accounting firm for the year ending December 31, 2026, by the following votes: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5"/>
              </w:rPr>
              <w:t>For</w:t>
            </w:r>
          </w:p>
        </w:tc>
        <w:tc>
          <w:tcPr>
            <w:tcW w:w="16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Against</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r>
      <w:tr>
        <w:trPr>
          <w:trHeight w:val="20"/>
        </w:trPr>
        <w:tc>
          <w:tcPr>
            <w:tcW w:w="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3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33,877,004</w:t>
            </w:r>
          </w:p>
        </w:tc>
        <w:tc>
          <w:tcPr>
            <w:tcW w:w="740" w:type="dxa"/>
            <w:vAlign w:val="bottom"/>
          </w:tcPr>
          <w:p>
            <w:pPr>
              <w:spacing w:after="0"/>
              <w:rPr>
                <w:sz w:val="20"/>
                <w:szCs w:val="20"/>
                <w:color w:val="auto"/>
              </w:rPr>
            </w:pPr>
          </w:p>
        </w:tc>
        <w:tc>
          <w:tcPr>
            <w:tcW w:w="5220" w:type="dxa"/>
            <w:vAlign w:val="bottom"/>
            <w:gridSpan w:val="4"/>
          </w:tcPr>
          <w:p>
            <w:pPr>
              <w:ind w:left="1820"/>
              <w:spacing w:after="0"/>
              <w:rPr>
                <w:sz w:val="20"/>
                <w:szCs w:val="20"/>
                <w:color w:val="auto"/>
              </w:rPr>
            </w:pPr>
            <w:r>
              <w:rPr>
                <w:rFonts w:ascii="Times New Roman" w:cs="Times New Roman" w:eastAsia="Times New Roman" w:hAnsi="Times New Roman"/>
                <w:sz w:val="18"/>
                <w:szCs w:val="18"/>
                <w:color w:val="auto"/>
              </w:rPr>
              <w:t>133,499</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1,501</w:t>
            </w:r>
          </w:p>
        </w:tc>
        <w:tc>
          <w:tcPr>
            <w:tcW w:w="3200" w:type="dxa"/>
            <w:vAlign w:val="bottom"/>
          </w:tcPr>
          <w:p>
            <w:pPr>
              <w:spacing w:after="0"/>
              <w:rPr>
                <w:sz w:val="20"/>
                <w:szCs w:val="20"/>
                <w:color w:val="auto"/>
              </w:rPr>
            </w:pPr>
          </w:p>
        </w:tc>
      </w:tr>
      <w:tr>
        <w:trPr>
          <w:trHeight w:val="540"/>
        </w:trPr>
        <w:tc>
          <w:tcPr>
            <w:tcW w:w="7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8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740" w:type="dxa"/>
            <w:vAlign w:val="bottom"/>
          </w:tcPr>
          <w:p>
            <w:pPr>
              <w:spacing w:after="0"/>
              <w:rPr>
                <w:sz w:val="24"/>
                <w:szCs w:val="24"/>
                <w:color w:val="auto"/>
              </w:rPr>
            </w:pPr>
          </w:p>
        </w:tc>
        <w:tc>
          <w:tcPr>
            <w:tcW w:w="5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17"/>
                <w:szCs w:val="17"/>
                <w:color w:val="auto"/>
              </w:rPr>
            </w:pPr>
          </w:p>
        </w:tc>
        <w:tc>
          <w:tcPr>
            <w:tcW w:w="52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Vor Biopharma Inc. Amended and Restated 2021 Equity Incentive Plan.</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3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p>
        </w:tc>
        <w:tc>
          <w:tcPr>
            <w:tcW w:w="9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Vor Biopharma Inc.</w:t>
      </w:r>
    </w:p>
    <w:p>
      <w:pPr>
        <w:spacing w:after="0" w:line="374" w:lineRule="exact"/>
        <w:rPr>
          <w:sz w:val="20"/>
          <w:szCs w:val="20"/>
          <w:color w:val="auto"/>
        </w:rPr>
      </w:pPr>
    </w:p>
    <w:p>
      <w:pPr>
        <w:spacing w:after="0"/>
        <w:tabs>
          <w:tab w:leader="none" w:pos="264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12, 2026</w:t>
      </w:r>
      <w:r>
        <w:rPr>
          <w:sz w:val="20"/>
          <w:szCs w:val="20"/>
          <w:color w:val="auto"/>
        </w:rPr>
        <w:tab/>
      </w:r>
      <w:r>
        <w:rPr>
          <w:rFonts w:ascii="Times New Roman" w:cs="Times New Roman" w:eastAsia="Times New Roman" w:hAnsi="Times New Roman"/>
          <w:sz w:val="18"/>
          <w:szCs w:val="18"/>
          <w:color w:val="auto"/>
        </w:rPr>
        <w:t>By:</w:t>
        <w:tab/>
        <w:t>/s/ Jean-Paul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Jean-Paul Kress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rPr>
          <w:sz w:val="20"/>
          <w:szCs w:val="20"/>
          <w:color w:val="auto"/>
        </w:rPr>
      </w:pPr>
      <w:r>
        <w:rPr>
          <w:rFonts w:ascii="Arial" w:cs="Arial" w:eastAsia="Arial" w:hAnsi="Arial"/>
          <w:sz w:val="13"/>
          <w:szCs w:val="13"/>
          <w:color w:val="auto"/>
        </w:rPr>
        <w:t>321452236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2305685"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0568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5"/>
          <w:szCs w:val="25"/>
          <w:b w:val="1"/>
          <w:bCs w:val="1"/>
          <w:color w:val="auto"/>
        </w:rPr>
        <w:t>V</w:t>
      </w:r>
      <w:r>
        <w:rPr>
          <w:rFonts w:ascii="Times New Roman" w:cs="Times New Roman" w:eastAsia="Times New Roman" w:hAnsi="Times New Roman"/>
          <w:sz w:val="17"/>
          <w:szCs w:val="17"/>
          <w:b w:val="1"/>
          <w:bCs w:val="1"/>
          <w:color w:val="auto"/>
        </w:rPr>
        <w:t>or</w:t>
      </w:r>
      <w:r>
        <w:rPr>
          <w:rFonts w:ascii="Times New Roman" w:cs="Times New Roman" w:eastAsia="Times New Roman" w:hAnsi="Times New Roman"/>
          <w:sz w:val="25"/>
          <w:szCs w:val="25"/>
          <w:b w:val="1"/>
          <w:bCs w:val="1"/>
          <w:color w:val="auto"/>
        </w:rPr>
        <w:t xml:space="preserve"> B</w:t>
      </w:r>
      <w:r>
        <w:rPr>
          <w:rFonts w:ascii="Times New Roman" w:cs="Times New Roman" w:eastAsia="Times New Roman" w:hAnsi="Times New Roman"/>
          <w:sz w:val="17"/>
          <w:szCs w:val="17"/>
          <w:b w:val="1"/>
          <w:bCs w:val="1"/>
          <w:color w:val="auto"/>
        </w:rPr>
        <w:t>iopharma</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4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mended and</w:t>
      </w:r>
      <w:r>
        <w:rPr>
          <w:rFonts w:ascii="Times New Roman" w:cs="Times New Roman" w:eastAsia="Times New Roman" w:hAnsi="Times New Roman"/>
          <w:sz w:val="25"/>
          <w:szCs w:val="25"/>
          <w:b w:val="1"/>
          <w:bCs w:val="1"/>
          <w:color w:val="auto"/>
        </w:rPr>
        <w:t xml:space="preserve"> R</w:t>
      </w:r>
      <w:r>
        <w:rPr>
          <w:rFonts w:ascii="Times New Roman" w:cs="Times New Roman" w:eastAsia="Times New Roman" w:hAnsi="Times New Roman"/>
          <w:sz w:val="17"/>
          <w:szCs w:val="17"/>
          <w:b w:val="1"/>
          <w:bCs w:val="1"/>
          <w:color w:val="auto"/>
        </w:rPr>
        <w:t>estated</w:t>
      </w:r>
      <w:r>
        <w:rPr>
          <w:rFonts w:ascii="Times New Roman" w:cs="Times New Roman" w:eastAsia="Times New Roman" w:hAnsi="Times New Roman"/>
          <w:sz w:val="25"/>
          <w:szCs w:val="25"/>
          <w:b w:val="1"/>
          <w:bCs w:val="1"/>
          <w:color w:val="auto"/>
        </w:rPr>
        <w:t xml:space="preserve"> 2021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19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oard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A</w:t>
      </w:r>
      <w:r>
        <w:rPr>
          <w:rFonts w:ascii="Times New Roman" w:cs="Times New Roman" w:eastAsia="Times New Roman" w:hAnsi="Times New Roman"/>
          <w:sz w:val="13"/>
          <w:szCs w:val="13"/>
          <w:b w:val="1"/>
          <w:bCs w:val="1"/>
          <w:color w:val="auto"/>
        </w:rPr>
        <w:t>pril</w:t>
      </w:r>
      <w:r>
        <w:rPr>
          <w:rFonts w:ascii="Times New Roman" w:cs="Times New Roman" w:eastAsia="Times New Roman" w:hAnsi="Times New Roman"/>
          <w:sz w:val="20"/>
          <w:szCs w:val="20"/>
          <w:b w:val="1"/>
          <w:bCs w:val="1"/>
          <w:color w:val="auto"/>
        </w:rPr>
        <w:t xml:space="preserve"> 16, 2026</w:t>
      </w:r>
    </w:p>
    <w:p>
      <w:pPr>
        <w:spacing w:after="0" w:line="2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une</w:t>
      </w:r>
      <w:r>
        <w:rPr>
          <w:rFonts w:ascii="Times New Roman" w:cs="Times New Roman" w:eastAsia="Times New Roman" w:hAnsi="Times New Roman"/>
          <w:sz w:val="20"/>
          <w:szCs w:val="20"/>
          <w:b w:val="1"/>
          <w:bCs w:val="1"/>
          <w:color w:val="auto"/>
        </w:rPr>
        <w:t xml:space="preserv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7479665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233" w:lineRule="exact"/>
        <w:rPr>
          <w:sz w:val="20"/>
          <w:szCs w:val="20"/>
          <w:color w:val="auto"/>
        </w:rPr>
      </w:pPr>
    </w:p>
    <w:tbl>
      <w:tblPr>
        <w:tblLayout w:type="fixed"/>
        <w:tblInd w:w="1300" w:type="dxa"/>
        <w:tblCellMar>
          <w:top w:w="0" w:type="dxa"/>
          <w:left w:w="0" w:type="dxa"/>
          <w:bottom w:w="0" w:type="dxa"/>
          <w:right w:w="0" w:type="dxa"/>
        </w:tblCellMar>
      </w:tblPr>
      <w:tr>
        <w:trPr>
          <w:trHeight w:val="286"/>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61"/>
        </w:trPr>
        <w:tc>
          <w:tcPr>
            <w:tcW w:w="1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6"/>
              </w:rPr>
              <w:t>1.</w:t>
            </w: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0000FF"/>
              </w:rPr>
              <w:t>G</w:t>
            </w:r>
            <w:r>
              <w:rPr>
                <w:rFonts w:ascii="Times New Roman" w:cs="Times New Roman" w:eastAsia="Times New Roman" w:hAnsi="Times New Roman"/>
                <w:sz w:val="14"/>
                <w:szCs w:val="14"/>
                <w:b w:val="1"/>
                <w:bCs w:val="1"/>
                <w:color w:val="0000FF"/>
              </w:rPr>
              <w:t>eneral</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6"/>
              </w:rPr>
              <w:t>2.</w:t>
            </w: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0000FF"/>
              </w:rPr>
              <w:t>S</w:t>
            </w:r>
            <w:r>
              <w:rPr>
                <w:rFonts w:ascii="Times New Roman" w:cs="Times New Roman" w:eastAsia="Times New Roman" w:hAnsi="Times New Roman"/>
                <w:sz w:val="14"/>
                <w:szCs w:val="14"/>
                <w:b w:val="1"/>
                <w:bCs w:val="1"/>
                <w:color w:val="0000FF"/>
              </w:rPr>
              <w:t>hares</w:t>
            </w:r>
            <w:r>
              <w:rPr>
                <w:rFonts w:ascii="Times New Roman" w:cs="Times New Roman" w:eastAsia="Times New Roman" w:hAnsi="Times New Roman"/>
                <w:sz w:val="22"/>
                <w:szCs w:val="22"/>
                <w:b w:val="1"/>
                <w:bCs w:val="1"/>
                <w:color w:val="0000FF"/>
              </w:rPr>
              <w:t xml:space="preserve"> S</w:t>
            </w:r>
            <w:r>
              <w:rPr>
                <w:rFonts w:ascii="Times New Roman" w:cs="Times New Roman" w:eastAsia="Times New Roman" w:hAnsi="Times New Roman"/>
                <w:sz w:val="14"/>
                <w:szCs w:val="14"/>
                <w:b w:val="1"/>
                <w:bCs w:val="1"/>
                <w:color w:val="0000FF"/>
              </w:rPr>
              <w:t>ubject to the</w:t>
            </w:r>
            <w:r>
              <w:rPr>
                <w:rFonts w:ascii="Times New Roman" w:cs="Times New Roman" w:eastAsia="Times New Roman" w:hAnsi="Times New Roman"/>
                <w:sz w:val="22"/>
                <w:szCs w:val="22"/>
                <w:b w:val="1"/>
                <w:bCs w:val="1"/>
                <w:color w:val="0000FF"/>
              </w:rPr>
              <w:t xml:space="preserve"> P</w:t>
            </w:r>
            <w:r>
              <w:rPr>
                <w:rFonts w:ascii="Times New Roman" w:cs="Times New Roman" w:eastAsia="Times New Roman" w:hAnsi="Times New Roman"/>
                <w:sz w:val="14"/>
                <w:szCs w:val="14"/>
                <w:b w:val="1"/>
                <w:bCs w:val="1"/>
                <w:color w:val="0000FF"/>
              </w:rPr>
              <w:t>lan</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6"/>
              </w:rPr>
              <w:t>3.</w:t>
            </w: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0000FF"/>
              </w:rPr>
              <w:t>E</w:t>
            </w:r>
            <w:r>
              <w:rPr>
                <w:rFonts w:ascii="Times New Roman" w:cs="Times New Roman" w:eastAsia="Times New Roman" w:hAnsi="Times New Roman"/>
                <w:sz w:val="14"/>
                <w:szCs w:val="14"/>
                <w:b w:val="1"/>
                <w:bCs w:val="1"/>
                <w:color w:val="0000FF"/>
              </w:rPr>
              <w:t>ligibility and</w:t>
            </w:r>
            <w:r>
              <w:rPr>
                <w:rFonts w:ascii="Times New Roman" w:cs="Times New Roman" w:eastAsia="Times New Roman" w:hAnsi="Times New Roman"/>
                <w:sz w:val="22"/>
                <w:szCs w:val="22"/>
                <w:b w:val="1"/>
                <w:bCs w:val="1"/>
                <w:color w:val="0000FF"/>
              </w:rPr>
              <w:t xml:space="preserve"> L</w:t>
            </w:r>
            <w:r>
              <w:rPr>
                <w:rFonts w:ascii="Times New Roman" w:cs="Times New Roman" w:eastAsia="Times New Roman" w:hAnsi="Times New Roman"/>
                <w:sz w:val="14"/>
                <w:szCs w:val="14"/>
                <w:b w:val="1"/>
                <w:bCs w:val="1"/>
                <w:color w:val="0000FF"/>
              </w:rPr>
              <w:t>imitations</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51"/>
        </w:trPr>
        <w:tc>
          <w:tcPr>
            <w:tcW w:w="73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0000FF"/>
              </w:rPr>
              <w:t>4. O</w:t>
            </w:r>
            <w:r>
              <w:rPr>
                <w:rFonts w:ascii="Times New Roman" w:cs="Times New Roman" w:eastAsia="Times New Roman" w:hAnsi="Times New Roman"/>
                <w:sz w:val="14"/>
                <w:szCs w:val="14"/>
                <w:b w:val="1"/>
                <w:bCs w:val="1"/>
                <w:color w:val="0000FF"/>
              </w:rPr>
              <w:t>ptions and</w:t>
            </w:r>
            <w:r>
              <w:rPr>
                <w:rFonts w:ascii="Times New Roman" w:cs="Times New Roman" w:eastAsia="Times New Roman" w:hAnsi="Times New Roman"/>
                <w:sz w:val="22"/>
                <w:szCs w:val="22"/>
                <w:b w:val="1"/>
                <w:bCs w:val="1"/>
                <w:color w:val="0000FF"/>
              </w:rPr>
              <w:t xml:space="preserve"> S</w:t>
            </w:r>
            <w:r>
              <w:rPr>
                <w:rFonts w:ascii="Times New Roman" w:cs="Times New Roman" w:eastAsia="Times New Roman" w:hAnsi="Times New Roman"/>
                <w:sz w:val="14"/>
                <w:szCs w:val="14"/>
                <w:b w:val="1"/>
                <w:bCs w:val="1"/>
                <w:color w:val="0000FF"/>
              </w:rPr>
              <w:t>tock</w:t>
            </w:r>
            <w:r>
              <w:rPr>
                <w:rFonts w:ascii="Times New Roman" w:cs="Times New Roman" w:eastAsia="Times New Roman" w:hAnsi="Times New Roman"/>
                <w:sz w:val="22"/>
                <w:szCs w:val="22"/>
                <w:b w:val="1"/>
                <w:bCs w:val="1"/>
                <w:color w:val="0000FF"/>
              </w:rPr>
              <w:t xml:space="preserve"> A</w:t>
            </w:r>
            <w:r>
              <w:rPr>
                <w:rFonts w:ascii="Times New Roman" w:cs="Times New Roman" w:eastAsia="Times New Roman" w:hAnsi="Times New Roman"/>
                <w:sz w:val="14"/>
                <w:szCs w:val="14"/>
                <w:b w:val="1"/>
                <w:bCs w:val="1"/>
                <w:color w:val="0000FF"/>
              </w:rPr>
              <w:t>ppreciation</w:t>
            </w:r>
            <w:r>
              <w:rPr>
                <w:rFonts w:ascii="Times New Roman" w:cs="Times New Roman" w:eastAsia="Times New Roman" w:hAnsi="Times New Roman"/>
                <w:sz w:val="22"/>
                <w:szCs w:val="22"/>
                <w:b w:val="1"/>
                <w:bCs w:val="1"/>
                <w:color w:val="0000FF"/>
              </w:rPr>
              <w:t xml:space="preserve"> R</w:t>
            </w:r>
            <w:r>
              <w:rPr>
                <w:rFonts w:ascii="Times New Roman" w:cs="Times New Roman" w:eastAsia="Times New Roman" w:hAnsi="Times New Roman"/>
                <w:sz w:val="14"/>
                <w:szCs w:val="14"/>
                <w:b w:val="1"/>
                <w:bCs w:val="1"/>
                <w:color w:val="0000FF"/>
              </w:rPr>
              <w:t>ights</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51"/>
        </w:trPr>
        <w:tc>
          <w:tcPr>
            <w:tcW w:w="73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0000FF"/>
              </w:rPr>
              <w:t>5. A</w:t>
            </w:r>
            <w:r>
              <w:rPr>
                <w:rFonts w:ascii="Times New Roman" w:cs="Times New Roman" w:eastAsia="Times New Roman" w:hAnsi="Times New Roman"/>
                <w:sz w:val="14"/>
                <w:szCs w:val="14"/>
                <w:b w:val="1"/>
                <w:bCs w:val="1"/>
                <w:color w:val="0000FF"/>
              </w:rPr>
              <w:t>wards</w:t>
            </w:r>
            <w:r>
              <w:rPr>
                <w:rFonts w:ascii="Times New Roman" w:cs="Times New Roman" w:eastAsia="Times New Roman" w:hAnsi="Times New Roman"/>
                <w:sz w:val="22"/>
                <w:szCs w:val="22"/>
                <w:b w:val="1"/>
                <w:bCs w:val="1"/>
                <w:color w:val="0000FF"/>
              </w:rPr>
              <w:t xml:space="preserve"> O</w:t>
            </w:r>
            <w:r>
              <w:rPr>
                <w:rFonts w:ascii="Times New Roman" w:cs="Times New Roman" w:eastAsia="Times New Roman" w:hAnsi="Times New Roman"/>
                <w:sz w:val="14"/>
                <w:szCs w:val="14"/>
                <w:b w:val="1"/>
                <w:bCs w:val="1"/>
                <w:color w:val="0000FF"/>
              </w:rPr>
              <w:t>ther</w:t>
            </w:r>
            <w:r>
              <w:rPr>
                <w:rFonts w:ascii="Times New Roman" w:cs="Times New Roman" w:eastAsia="Times New Roman" w:hAnsi="Times New Roman"/>
                <w:sz w:val="22"/>
                <w:szCs w:val="22"/>
                <w:b w:val="1"/>
                <w:bCs w:val="1"/>
                <w:color w:val="0000FF"/>
              </w:rPr>
              <w:t xml:space="preserve"> T</w:t>
            </w:r>
            <w:r>
              <w:rPr>
                <w:rFonts w:ascii="Times New Roman" w:cs="Times New Roman" w:eastAsia="Times New Roman" w:hAnsi="Times New Roman"/>
                <w:sz w:val="14"/>
                <w:szCs w:val="14"/>
                <w:b w:val="1"/>
                <w:bCs w:val="1"/>
                <w:color w:val="0000FF"/>
              </w:rPr>
              <w:t>han</w:t>
            </w:r>
            <w:r>
              <w:rPr>
                <w:rFonts w:ascii="Times New Roman" w:cs="Times New Roman" w:eastAsia="Times New Roman" w:hAnsi="Times New Roman"/>
                <w:sz w:val="22"/>
                <w:szCs w:val="22"/>
                <w:b w:val="1"/>
                <w:bCs w:val="1"/>
                <w:color w:val="0000FF"/>
              </w:rPr>
              <w:t xml:space="preserve"> O</w:t>
            </w:r>
            <w:r>
              <w:rPr>
                <w:rFonts w:ascii="Times New Roman" w:cs="Times New Roman" w:eastAsia="Times New Roman" w:hAnsi="Times New Roman"/>
                <w:sz w:val="14"/>
                <w:szCs w:val="14"/>
                <w:b w:val="1"/>
                <w:bCs w:val="1"/>
                <w:color w:val="0000FF"/>
              </w:rPr>
              <w:t>ptions and</w:t>
            </w:r>
            <w:r>
              <w:rPr>
                <w:rFonts w:ascii="Times New Roman" w:cs="Times New Roman" w:eastAsia="Times New Roman" w:hAnsi="Times New Roman"/>
                <w:sz w:val="22"/>
                <w:szCs w:val="22"/>
                <w:b w:val="1"/>
                <w:bCs w:val="1"/>
                <w:color w:val="0000FF"/>
              </w:rPr>
              <w:t xml:space="preserve"> S</w:t>
            </w:r>
            <w:r>
              <w:rPr>
                <w:rFonts w:ascii="Times New Roman" w:cs="Times New Roman" w:eastAsia="Times New Roman" w:hAnsi="Times New Roman"/>
                <w:sz w:val="14"/>
                <w:szCs w:val="14"/>
                <w:b w:val="1"/>
                <w:bCs w:val="1"/>
                <w:color w:val="0000FF"/>
              </w:rPr>
              <w:t>tock</w:t>
            </w:r>
            <w:r>
              <w:rPr>
                <w:rFonts w:ascii="Times New Roman" w:cs="Times New Roman" w:eastAsia="Times New Roman" w:hAnsi="Times New Roman"/>
                <w:sz w:val="22"/>
                <w:szCs w:val="22"/>
                <w:b w:val="1"/>
                <w:bCs w:val="1"/>
                <w:color w:val="0000FF"/>
              </w:rPr>
              <w:t xml:space="preserve"> A</w:t>
            </w:r>
            <w:r>
              <w:rPr>
                <w:rFonts w:ascii="Times New Roman" w:cs="Times New Roman" w:eastAsia="Times New Roman" w:hAnsi="Times New Roman"/>
                <w:sz w:val="14"/>
                <w:szCs w:val="14"/>
                <w:b w:val="1"/>
                <w:bCs w:val="1"/>
                <w:color w:val="0000FF"/>
              </w:rPr>
              <w:t>ppreciation</w:t>
            </w:r>
            <w:r>
              <w:rPr>
                <w:rFonts w:ascii="Times New Roman" w:cs="Times New Roman" w:eastAsia="Times New Roman" w:hAnsi="Times New Roman"/>
                <w:sz w:val="22"/>
                <w:szCs w:val="22"/>
                <w:b w:val="1"/>
                <w:bCs w:val="1"/>
                <w:color w:val="0000FF"/>
              </w:rPr>
              <w:t xml:space="preserve"> R</w:t>
            </w:r>
            <w:r>
              <w:rPr>
                <w:rFonts w:ascii="Times New Roman" w:cs="Times New Roman" w:eastAsia="Times New Roman" w:hAnsi="Times New Roman"/>
                <w:sz w:val="14"/>
                <w:szCs w:val="14"/>
                <w:b w:val="1"/>
                <w:bCs w:val="1"/>
                <w:color w:val="0000FF"/>
              </w:rPr>
              <w:t>ights</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51"/>
        </w:trPr>
        <w:tc>
          <w:tcPr>
            <w:tcW w:w="73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0000FF"/>
              </w:rPr>
              <w:t>6. A</w:t>
            </w:r>
            <w:r>
              <w:rPr>
                <w:rFonts w:ascii="Times New Roman" w:cs="Times New Roman" w:eastAsia="Times New Roman" w:hAnsi="Times New Roman"/>
                <w:sz w:val="14"/>
                <w:szCs w:val="14"/>
                <w:b w:val="1"/>
                <w:bCs w:val="1"/>
                <w:color w:val="0000FF"/>
              </w:rPr>
              <w:t>djustments upon</w:t>
            </w:r>
            <w:r>
              <w:rPr>
                <w:rFonts w:ascii="Times New Roman" w:cs="Times New Roman" w:eastAsia="Times New Roman" w:hAnsi="Times New Roman"/>
                <w:sz w:val="22"/>
                <w:szCs w:val="22"/>
                <w:b w:val="1"/>
                <w:bCs w:val="1"/>
                <w:color w:val="0000FF"/>
              </w:rPr>
              <w:t xml:space="preserve"> C</w:t>
            </w:r>
            <w:r>
              <w:rPr>
                <w:rFonts w:ascii="Times New Roman" w:cs="Times New Roman" w:eastAsia="Times New Roman" w:hAnsi="Times New Roman"/>
                <w:sz w:val="14"/>
                <w:szCs w:val="14"/>
                <w:b w:val="1"/>
                <w:bCs w:val="1"/>
                <w:color w:val="0000FF"/>
              </w:rPr>
              <w:t>hanges in</w:t>
            </w:r>
            <w:r>
              <w:rPr>
                <w:rFonts w:ascii="Times New Roman" w:cs="Times New Roman" w:eastAsia="Times New Roman" w:hAnsi="Times New Roman"/>
                <w:sz w:val="22"/>
                <w:szCs w:val="22"/>
                <w:b w:val="1"/>
                <w:bCs w:val="1"/>
                <w:color w:val="0000FF"/>
              </w:rPr>
              <w:t xml:space="preserve"> C</w:t>
            </w:r>
            <w:r>
              <w:rPr>
                <w:rFonts w:ascii="Times New Roman" w:cs="Times New Roman" w:eastAsia="Times New Roman" w:hAnsi="Times New Roman"/>
                <w:sz w:val="14"/>
                <w:szCs w:val="14"/>
                <w:b w:val="1"/>
                <w:bCs w:val="1"/>
                <w:color w:val="0000FF"/>
              </w:rPr>
              <w:t>ommon</w:t>
            </w:r>
            <w:r>
              <w:rPr>
                <w:rFonts w:ascii="Times New Roman" w:cs="Times New Roman" w:eastAsia="Times New Roman" w:hAnsi="Times New Roman"/>
                <w:sz w:val="22"/>
                <w:szCs w:val="22"/>
                <w:b w:val="1"/>
                <w:bCs w:val="1"/>
                <w:color w:val="0000FF"/>
              </w:rPr>
              <w:t xml:space="preserve"> S</w:t>
            </w:r>
            <w:r>
              <w:rPr>
                <w:rFonts w:ascii="Times New Roman" w:cs="Times New Roman" w:eastAsia="Times New Roman" w:hAnsi="Times New Roman"/>
                <w:sz w:val="14"/>
                <w:szCs w:val="14"/>
                <w:b w:val="1"/>
                <w:bCs w:val="1"/>
                <w:color w:val="0000FF"/>
              </w:rPr>
              <w:t>tock</w:t>
            </w:r>
            <w:r>
              <w:rPr>
                <w:rFonts w:ascii="Times New Roman" w:cs="Times New Roman" w:eastAsia="Times New Roman" w:hAnsi="Times New Roman"/>
                <w:sz w:val="22"/>
                <w:szCs w:val="22"/>
                <w:b w:val="1"/>
                <w:bCs w:val="1"/>
                <w:color w:val="0000FF"/>
              </w:rPr>
              <w:t>; O</w:t>
            </w:r>
            <w:r>
              <w:rPr>
                <w:rFonts w:ascii="Times New Roman" w:cs="Times New Roman" w:eastAsia="Times New Roman" w:hAnsi="Times New Roman"/>
                <w:sz w:val="14"/>
                <w:szCs w:val="14"/>
                <w:b w:val="1"/>
                <w:bCs w:val="1"/>
                <w:color w:val="0000FF"/>
              </w:rPr>
              <w:t>ther</w:t>
            </w:r>
            <w:r>
              <w:rPr>
                <w:rFonts w:ascii="Times New Roman" w:cs="Times New Roman" w:eastAsia="Times New Roman" w:hAnsi="Times New Roman"/>
                <w:sz w:val="22"/>
                <w:szCs w:val="22"/>
                <w:b w:val="1"/>
                <w:bCs w:val="1"/>
                <w:color w:val="0000FF"/>
              </w:rPr>
              <w:t xml:space="preserve"> C</w:t>
            </w:r>
            <w:r>
              <w:rPr>
                <w:rFonts w:ascii="Times New Roman" w:cs="Times New Roman" w:eastAsia="Times New Roman" w:hAnsi="Times New Roman"/>
                <w:sz w:val="14"/>
                <w:szCs w:val="14"/>
                <w:b w:val="1"/>
                <w:bCs w:val="1"/>
                <w:color w:val="0000FF"/>
              </w:rPr>
              <w:t>orporate</w:t>
            </w:r>
            <w:r>
              <w:rPr>
                <w:rFonts w:ascii="Times New Roman" w:cs="Times New Roman" w:eastAsia="Times New Roman" w:hAnsi="Times New Roman"/>
                <w:sz w:val="22"/>
                <w:szCs w:val="22"/>
                <w:b w:val="1"/>
                <w:bCs w:val="1"/>
                <w:color w:val="0000FF"/>
              </w:rPr>
              <w:t xml:space="preserve"> E</w:t>
            </w:r>
            <w:r>
              <w:rPr>
                <w:rFonts w:ascii="Times New Roman" w:cs="Times New Roman" w:eastAsia="Times New Roman" w:hAnsi="Times New Roman"/>
                <w:sz w:val="14"/>
                <w:szCs w:val="14"/>
                <w:b w:val="1"/>
                <w:bCs w:val="1"/>
                <w:color w:val="0000FF"/>
              </w:rPr>
              <w:t>vents</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51"/>
        </w:trPr>
        <w:tc>
          <w:tcPr>
            <w:tcW w:w="1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6"/>
              </w:rPr>
              <w:t>7.</w:t>
            </w: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0000FF"/>
              </w:rPr>
              <w:t>A</w:t>
            </w:r>
            <w:r>
              <w:rPr>
                <w:rFonts w:ascii="Times New Roman" w:cs="Times New Roman" w:eastAsia="Times New Roman" w:hAnsi="Times New Roman"/>
                <w:sz w:val="14"/>
                <w:szCs w:val="14"/>
                <w:b w:val="1"/>
                <w:bCs w:val="1"/>
                <w:color w:val="0000FF"/>
              </w:rPr>
              <w:t>dministration</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51"/>
        </w:trPr>
        <w:tc>
          <w:tcPr>
            <w:tcW w:w="73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0000FF"/>
              </w:rPr>
              <w:t>8. T</w:t>
            </w:r>
            <w:r>
              <w:rPr>
                <w:rFonts w:ascii="Times New Roman" w:cs="Times New Roman" w:eastAsia="Times New Roman" w:hAnsi="Times New Roman"/>
                <w:sz w:val="14"/>
                <w:szCs w:val="14"/>
                <w:b w:val="1"/>
                <w:bCs w:val="1"/>
                <w:color w:val="0000FF"/>
              </w:rPr>
              <w:t>ax</w:t>
            </w:r>
            <w:r>
              <w:rPr>
                <w:rFonts w:ascii="Times New Roman" w:cs="Times New Roman" w:eastAsia="Times New Roman" w:hAnsi="Times New Roman"/>
                <w:sz w:val="22"/>
                <w:szCs w:val="22"/>
                <w:b w:val="1"/>
                <w:bCs w:val="1"/>
                <w:color w:val="0000FF"/>
              </w:rPr>
              <w:t xml:space="preserve"> W</w:t>
            </w:r>
            <w:r>
              <w:rPr>
                <w:rFonts w:ascii="Times New Roman" w:cs="Times New Roman" w:eastAsia="Times New Roman" w:hAnsi="Times New Roman"/>
                <w:sz w:val="14"/>
                <w:szCs w:val="14"/>
                <w:b w:val="1"/>
                <w:bCs w:val="1"/>
                <w:color w:val="0000FF"/>
              </w:rPr>
              <w:t>ithholding</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180" w:type="dxa"/>
            <w:vAlign w:val="bottom"/>
          </w:tcPr>
          <w:p>
            <w:pPr>
              <w:spacing w:after="0"/>
              <w:rPr>
                <w:sz w:val="20"/>
                <w:szCs w:val="20"/>
                <w:color w:val="auto"/>
              </w:rPr>
            </w:pPr>
            <w:r>
              <w:rPr>
                <w:rFonts w:ascii="Times New Roman" w:cs="Times New Roman" w:eastAsia="Times New Roman" w:hAnsi="Times New Roman"/>
                <w:sz w:val="22"/>
                <w:szCs w:val="22"/>
                <w:b w:val="1"/>
                <w:bCs w:val="1"/>
                <w:color w:val="0000FF"/>
                <w:w w:val="96"/>
              </w:rPr>
              <w:t>9.</w:t>
            </w: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0000FF"/>
              </w:rPr>
              <w:t>M</w:t>
            </w:r>
            <w:r>
              <w:rPr>
                <w:rFonts w:ascii="Times New Roman" w:cs="Times New Roman" w:eastAsia="Times New Roman" w:hAnsi="Times New Roman"/>
                <w:sz w:val="14"/>
                <w:szCs w:val="14"/>
                <w:b w:val="1"/>
                <w:bCs w:val="1"/>
                <w:color w:val="0000FF"/>
              </w:rPr>
              <w:t>iscellaneous</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2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w w:val="94"/>
              </w:rPr>
              <w:t>10.</w:t>
            </w:r>
          </w:p>
        </w:tc>
        <w:tc>
          <w:tcPr>
            <w:tcW w:w="708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C</w:t>
            </w:r>
            <w:r>
              <w:rPr>
                <w:rFonts w:ascii="Times New Roman" w:cs="Times New Roman" w:eastAsia="Times New Roman" w:hAnsi="Times New Roman"/>
                <w:sz w:val="14"/>
                <w:szCs w:val="14"/>
                <w:b w:val="1"/>
                <w:bCs w:val="1"/>
                <w:color w:val="0000FF"/>
              </w:rPr>
              <w:t>ovenants of the</w:t>
            </w:r>
            <w:r>
              <w:rPr>
                <w:rFonts w:ascii="Times New Roman" w:cs="Times New Roman" w:eastAsia="Times New Roman" w:hAnsi="Times New Roman"/>
                <w:sz w:val="22"/>
                <w:szCs w:val="22"/>
                <w:b w:val="1"/>
                <w:bCs w:val="1"/>
                <w:color w:val="0000FF"/>
              </w:rPr>
              <w:t xml:space="preserve"> C</w:t>
            </w:r>
            <w:r>
              <w:rPr>
                <w:rFonts w:ascii="Times New Roman" w:cs="Times New Roman" w:eastAsia="Times New Roman" w:hAnsi="Times New Roman"/>
                <w:sz w:val="14"/>
                <w:szCs w:val="14"/>
                <w:b w:val="1"/>
                <w:bCs w:val="1"/>
                <w:color w:val="0000FF"/>
              </w:rPr>
              <w:t>ompany</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73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0000FF"/>
              </w:rPr>
              <w:t>11. A</w:t>
            </w:r>
            <w:r>
              <w:rPr>
                <w:rFonts w:ascii="Times New Roman" w:cs="Times New Roman" w:eastAsia="Times New Roman" w:hAnsi="Times New Roman"/>
                <w:sz w:val="14"/>
                <w:szCs w:val="14"/>
                <w:b w:val="1"/>
                <w:bCs w:val="1"/>
                <w:color w:val="0000FF"/>
              </w:rPr>
              <w:t>dditional</w:t>
            </w:r>
            <w:r>
              <w:rPr>
                <w:rFonts w:ascii="Times New Roman" w:cs="Times New Roman" w:eastAsia="Times New Roman" w:hAnsi="Times New Roman"/>
                <w:sz w:val="22"/>
                <w:szCs w:val="22"/>
                <w:b w:val="1"/>
                <w:bCs w:val="1"/>
                <w:color w:val="0000FF"/>
              </w:rPr>
              <w:t xml:space="preserve"> R</w:t>
            </w:r>
            <w:r>
              <w:rPr>
                <w:rFonts w:ascii="Times New Roman" w:cs="Times New Roman" w:eastAsia="Times New Roman" w:hAnsi="Times New Roman"/>
                <w:sz w:val="14"/>
                <w:szCs w:val="14"/>
                <w:b w:val="1"/>
                <w:bCs w:val="1"/>
                <w:color w:val="0000FF"/>
              </w:rPr>
              <w:t>ules for</w:t>
            </w:r>
            <w:r>
              <w:rPr>
                <w:rFonts w:ascii="Times New Roman" w:cs="Times New Roman" w:eastAsia="Times New Roman" w:hAnsi="Times New Roman"/>
                <w:sz w:val="22"/>
                <w:szCs w:val="22"/>
                <w:b w:val="1"/>
                <w:bCs w:val="1"/>
                <w:color w:val="0000FF"/>
              </w:rPr>
              <w:t xml:space="preserve"> A</w:t>
            </w:r>
            <w:r>
              <w:rPr>
                <w:rFonts w:ascii="Times New Roman" w:cs="Times New Roman" w:eastAsia="Times New Roman" w:hAnsi="Times New Roman"/>
                <w:sz w:val="14"/>
                <w:szCs w:val="14"/>
                <w:b w:val="1"/>
                <w:bCs w:val="1"/>
                <w:color w:val="0000FF"/>
              </w:rPr>
              <w:t>wards</w:t>
            </w:r>
            <w:r>
              <w:rPr>
                <w:rFonts w:ascii="Times New Roman" w:cs="Times New Roman" w:eastAsia="Times New Roman" w:hAnsi="Times New Roman"/>
                <w:sz w:val="22"/>
                <w:szCs w:val="22"/>
                <w:b w:val="1"/>
                <w:bCs w:val="1"/>
                <w:color w:val="0000FF"/>
              </w:rPr>
              <w:t xml:space="preserve"> S</w:t>
            </w:r>
            <w:r>
              <w:rPr>
                <w:rFonts w:ascii="Times New Roman" w:cs="Times New Roman" w:eastAsia="Times New Roman" w:hAnsi="Times New Roman"/>
                <w:sz w:val="14"/>
                <w:szCs w:val="14"/>
                <w:b w:val="1"/>
                <w:bCs w:val="1"/>
                <w:color w:val="0000FF"/>
              </w:rPr>
              <w:t>ubject to</w:t>
            </w:r>
            <w:r>
              <w:rPr>
                <w:rFonts w:ascii="Times New Roman" w:cs="Times New Roman" w:eastAsia="Times New Roman" w:hAnsi="Times New Roman"/>
                <w:sz w:val="22"/>
                <w:szCs w:val="22"/>
                <w:b w:val="1"/>
                <w:bCs w:val="1"/>
                <w:color w:val="0000FF"/>
              </w:rPr>
              <w:t xml:space="preserve"> S</w:t>
            </w:r>
            <w:r>
              <w:rPr>
                <w:rFonts w:ascii="Times New Roman" w:cs="Times New Roman" w:eastAsia="Times New Roman" w:hAnsi="Times New Roman"/>
                <w:sz w:val="14"/>
                <w:szCs w:val="14"/>
                <w:b w:val="1"/>
                <w:bCs w:val="1"/>
                <w:color w:val="0000FF"/>
              </w:rPr>
              <w:t>ection</w:t>
            </w:r>
            <w:r>
              <w:rPr>
                <w:rFonts w:ascii="Times New Roman" w:cs="Times New Roman" w:eastAsia="Times New Roman" w:hAnsi="Times New Roman"/>
                <w:sz w:val="22"/>
                <w:szCs w:val="22"/>
                <w:b w:val="1"/>
                <w:bCs w:val="1"/>
                <w:color w:val="0000FF"/>
              </w:rPr>
              <w:t xml:space="preserve"> 409A.</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2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w w:val="94"/>
              </w:rPr>
              <w:t>12.</w:t>
            </w:r>
          </w:p>
        </w:tc>
        <w:tc>
          <w:tcPr>
            <w:tcW w:w="708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S</w:t>
            </w:r>
            <w:r>
              <w:rPr>
                <w:rFonts w:ascii="Times New Roman" w:cs="Times New Roman" w:eastAsia="Times New Roman" w:hAnsi="Times New Roman"/>
                <w:sz w:val="14"/>
                <w:szCs w:val="14"/>
                <w:b w:val="1"/>
                <w:bCs w:val="1"/>
                <w:color w:val="0000FF"/>
              </w:rPr>
              <w:t>everability</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2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w w:val="94"/>
              </w:rPr>
              <w:t>13.</w:t>
            </w:r>
          </w:p>
        </w:tc>
        <w:tc>
          <w:tcPr>
            <w:tcW w:w="708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T</w:t>
            </w:r>
            <w:r>
              <w:rPr>
                <w:rFonts w:ascii="Times New Roman" w:cs="Times New Roman" w:eastAsia="Times New Roman" w:hAnsi="Times New Roman"/>
                <w:sz w:val="14"/>
                <w:szCs w:val="14"/>
                <w:b w:val="1"/>
                <w:bCs w:val="1"/>
                <w:color w:val="0000FF"/>
              </w:rPr>
              <w:t>ermination of the</w:t>
            </w:r>
            <w:r>
              <w:rPr>
                <w:rFonts w:ascii="Times New Roman" w:cs="Times New Roman" w:eastAsia="Times New Roman" w:hAnsi="Times New Roman"/>
                <w:sz w:val="22"/>
                <w:szCs w:val="22"/>
                <w:b w:val="1"/>
                <w:bCs w:val="1"/>
                <w:color w:val="0000FF"/>
              </w:rPr>
              <w:t xml:space="preserve"> P</w:t>
            </w:r>
            <w:r>
              <w:rPr>
                <w:rFonts w:ascii="Times New Roman" w:cs="Times New Roman" w:eastAsia="Times New Roman" w:hAnsi="Times New Roman"/>
                <w:sz w:val="14"/>
                <w:szCs w:val="14"/>
                <w:b w:val="1"/>
                <w:bCs w:val="1"/>
                <w:color w:val="0000FF"/>
              </w:rPr>
              <w:t>lan</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2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000FF"/>
                <w:w w:val="94"/>
              </w:rPr>
              <w:t>14.</w:t>
            </w:r>
          </w:p>
        </w:tc>
        <w:tc>
          <w:tcPr>
            <w:tcW w:w="708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0000FF"/>
              </w:rPr>
              <w:t>D</w:t>
            </w:r>
            <w:r>
              <w:rPr>
                <w:rFonts w:ascii="Times New Roman" w:cs="Times New Roman" w:eastAsia="Times New Roman" w:hAnsi="Times New Roman"/>
                <w:sz w:val="14"/>
                <w:szCs w:val="14"/>
                <w:b w:val="1"/>
                <w:bCs w:val="1"/>
                <w:color w:val="0000FF"/>
              </w:rPr>
              <w:t>efinitions</w:t>
            </w:r>
            <w:r>
              <w:rPr>
                <w:rFonts w:ascii="Times New Roman" w:cs="Times New Roman" w:eastAsia="Times New Roman" w:hAnsi="Times New Roman"/>
                <w:sz w:val="22"/>
                <w:szCs w:val="22"/>
                <w:b w:val="1"/>
                <w:bCs w:val="1"/>
                <w:color w:val="0000FF"/>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5" w:name="page6"/>
    <w:bookmarkEnd w:id="5"/>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20" w:hanging="428"/>
        <w:spacing w:after="0"/>
        <w:tabs>
          <w:tab w:leader="none" w:pos="17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1300" w:right="299" w:firstLine="640"/>
        <w:spacing w:after="0" w:line="234" w:lineRule="auto"/>
        <w:tabs>
          <w:tab w:leader="none" w:pos="2380"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Successor to and Continuation of Prior Plan. </w:t>
      </w:r>
      <w:r>
        <w:rPr>
          <w:rFonts w:ascii="Times New Roman" w:cs="Times New Roman" w:eastAsia="Times New Roman" w:hAnsi="Times New Roman"/>
          <w:sz w:val="22"/>
          <w:szCs w:val="22"/>
          <w:color w:val="auto"/>
        </w:rPr>
        <w:t>The Plan was originally adopted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on January 28, 2021, approved by the Company’s stockholders on January 29, 2021 and became effective as of the Original Effective Date. The Plan is the successor to and continuation of the Prior Plan and is hereby amended and restated as of the Effective Date. As of the Original Effective Date, (i) no 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5" w:lineRule="exact"/>
        <w:rPr>
          <w:rFonts w:ascii="Times New Roman" w:cs="Times New Roman" w:eastAsia="Times New Roman" w:hAnsi="Times New Roman"/>
          <w:sz w:val="22"/>
          <w:szCs w:val="22"/>
          <w:b w:val="1"/>
          <w:bCs w:val="1"/>
          <w:color w:val="auto"/>
        </w:rPr>
      </w:pPr>
    </w:p>
    <w:p>
      <w:pPr>
        <w:jc w:val="both"/>
        <w:ind w:left="1300" w:right="299" w:firstLine="640"/>
        <w:spacing w:after="0" w:line="238" w:lineRule="auto"/>
        <w:tabs>
          <w:tab w:leader="none" w:pos="2380"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Plan Purpose. </w:t>
      </w:r>
      <w:r>
        <w:rPr>
          <w:rFonts w:ascii="Times New Roman" w:cs="Times New Roman" w:eastAsia="Times New Roman" w:hAnsi="Times New Roman"/>
          <w:sz w:val="22"/>
          <w:szCs w:val="22"/>
          <w:color w:val="auto"/>
        </w:rPr>
        <w:t>The Company, by means of the Plan, seeks to secure and retain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6" w:lineRule="exact"/>
        <w:rPr>
          <w:rFonts w:ascii="Times New Roman" w:cs="Times New Roman" w:eastAsia="Times New Roman" w:hAnsi="Times New Roman"/>
          <w:sz w:val="22"/>
          <w:szCs w:val="22"/>
          <w:b w:val="1"/>
          <w:bCs w:val="1"/>
          <w:color w:val="auto"/>
        </w:rPr>
      </w:pPr>
    </w:p>
    <w:p>
      <w:pPr>
        <w:jc w:val="both"/>
        <w:ind w:left="1300" w:right="299" w:firstLine="640"/>
        <w:spacing w:after="0" w:line="246" w:lineRule="auto"/>
        <w:tabs>
          <w:tab w:leader="none" w:pos="2380"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Available Awards. </w:t>
      </w:r>
      <w:r>
        <w:rPr>
          <w:rFonts w:ascii="Times New Roman" w:cs="Times New Roman" w:eastAsia="Times New Roman" w:hAnsi="Times New Roman"/>
          <w:sz w:val="22"/>
          <w:szCs w:val="22"/>
          <w:color w:val="auto"/>
        </w:rPr>
        <w:t>The Plan provides for the grant of the following Awards: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Stock Options; (ii) Nonstatutory Stock Options; (iii) SARs; (iv) Restricted Stock Awards; (v) RSU Awards; (vi) Performance Awards; and (vii) Other Awards.</w:t>
      </w:r>
    </w:p>
    <w:p>
      <w:pPr>
        <w:spacing w:after="0" w:line="167" w:lineRule="exact"/>
        <w:rPr>
          <w:rFonts w:ascii="Times New Roman" w:cs="Times New Roman" w:eastAsia="Times New Roman" w:hAnsi="Times New Roman"/>
          <w:sz w:val="22"/>
          <w:szCs w:val="22"/>
          <w:b w:val="1"/>
          <w:bCs w:val="1"/>
          <w:color w:val="auto"/>
        </w:rPr>
      </w:pPr>
    </w:p>
    <w:p>
      <w:pPr>
        <w:jc w:val="both"/>
        <w:ind w:left="1300" w:right="299" w:firstLine="640"/>
        <w:spacing w:after="0" w:line="246" w:lineRule="auto"/>
        <w:tabs>
          <w:tab w:leader="none" w:pos="2380"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Adoption Date; Effective Date. </w:t>
      </w:r>
      <w:r>
        <w:rPr>
          <w:rFonts w:ascii="Times New Roman" w:cs="Times New Roman" w:eastAsia="Times New Roman" w:hAnsi="Times New Roman"/>
          <w:sz w:val="22"/>
          <w:szCs w:val="22"/>
          <w:color w:val="auto"/>
        </w:rPr>
        <w:t>The Plan, as amended and restated hereby,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come into existence on the Adoption Date, but no Award may be granted prior to the Effective Date.</w:t>
      </w:r>
    </w:p>
    <w:p>
      <w:pPr>
        <w:spacing w:after="0" w:line="167" w:lineRule="exact"/>
        <w:rPr>
          <w:rFonts w:ascii="Times New Roman" w:cs="Times New Roman" w:eastAsia="Times New Roman" w:hAnsi="Times New Roman"/>
          <w:sz w:val="22"/>
          <w:szCs w:val="22"/>
          <w:b w:val="1"/>
          <w:bCs w:val="1"/>
          <w:color w:val="auto"/>
        </w:rPr>
      </w:pPr>
    </w:p>
    <w:p>
      <w:pPr>
        <w:ind w:left="1720" w:hanging="428"/>
        <w:spacing w:after="0"/>
        <w:tabs>
          <w:tab w:leader="none" w:pos="17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1300" w:right="299" w:firstLine="640"/>
        <w:spacing w:after="0" w:line="229" w:lineRule="auto"/>
        <w:tabs>
          <w:tab w:leader="none" w:pos="2407"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 Reserve. </w:t>
      </w:r>
      <w:r>
        <w:rPr>
          <w:rFonts w:ascii="Times New Roman" w:cs="Times New Roman" w:eastAsia="Times New Roman" w:hAnsi="Times New Roman"/>
          <w:sz w:val="22"/>
          <w:szCs w:val="22"/>
          <w:color w:val="auto"/>
        </w:rPr>
        <w:t>Subject to adjustment in accordance with Section 2(c)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adjustments as necessary to implement any Capitalization Adjustments, the aggregate number of shares of Common Stock that may be issued pursuant to Awards will not exceed the sum of: (i) 2,300,362 shares; plus, (ii)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2026 and ending on (and including) January 1, 2035, in an amount equal to four percent (4%) of the Share Reserve Increase Stock outstanding on December 31 of the preceding year; provided, however that the Board may act prior to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a given year to provide that the increase for such year will be a lesser number of shares of Common Stock.</w:t>
      </w:r>
    </w:p>
    <w:p>
      <w:pPr>
        <w:spacing w:after="0" w:line="181" w:lineRule="exact"/>
        <w:rPr>
          <w:rFonts w:ascii="Times New Roman" w:cs="Times New Roman" w:eastAsia="Times New Roman" w:hAnsi="Times New Roman"/>
          <w:sz w:val="22"/>
          <w:szCs w:val="22"/>
          <w:b w:val="1"/>
          <w:bCs w:val="1"/>
          <w:color w:val="auto"/>
        </w:rPr>
      </w:pPr>
    </w:p>
    <w:p>
      <w:pPr>
        <w:jc w:val="both"/>
        <w:ind w:left="1300" w:right="299" w:firstLine="640"/>
        <w:spacing w:after="0" w:line="241" w:lineRule="auto"/>
        <w:tabs>
          <w:tab w:leader="none" w:pos="2380"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Aggregate Incentive Stock Option Limit. </w:t>
      </w:r>
      <w:r>
        <w:rPr>
          <w:rFonts w:ascii="Times New Roman" w:cs="Times New Roman" w:eastAsia="Times New Roman" w:hAnsi="Times New Roman"/>
          <w:sz w:val="22"/>
          <w:szCs w:val="22"/>
          <w:color w:val="auto"/>
        </w:rPr>
        <w:t>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in Section 2(a) and subject to any adjustments as necessary to implement any Capitalization Adjustments, the aggregate maximum number of shares of Common Stock that may be issued pursuant to the exercise of Incentive Stock Options is 6,907,087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380" w:hanging="440"/>
        <w:spacing w:after="0"/>
        <w:tabs>
          <w:tab w:leader="none" w:pos="2380"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Reserve Operation.</w:t>
      </w:r>
    </w:p>
    <w:p>
      <w:pPr>
        <w:spacing w:after="0" w:line="206" w:lineRule="exact"/>
        <w:rPr>
          <w:rFonts w:ascii="Times New Roman" w:cs="Times New Roman" w:eastAsia="Times New Roman" w:hAnsi="Times New Roman"/>
          <w:sz w:val="22"/>
          <w:szCs w:val="22"/>
          <w:b w:val="1"/>
          <w:bCs w:val="1"/>
          <w:color w:val="auto"/>
        </w:rPr>
      </w:pPr>
    </w:p>
    <w:p>
      <w:pPr>
        <w:jc w:val="both"/>
        <w:ind w:left="1380" w:right="299" w:firstLine="1289"/>
        <w:spacing w:after="0" w:line="235" w:lineRule="auto"/>
        <w:tabs>
          <w:tab w:leader="none" w:pos="3108" w:val="left"/>
        </w:tabs>
        <w:numPr>
          <w:ilvl w:val="2"/>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 Applies to Common Stock Issued Pursuant to Awards. </w:t>
      </w:r>
      <w:r>
        <w:rPr>
          <w:rFonts w:ascii="Times New Roman" w:cs="Times New Roman" w:eastAsia="Times New Roman" w:hAnsi="Times New Roman"/>
          <w:sz w:val="22"/>
          <w:szCs w:val="22"/>
          <w:color w:val="auto"/>
        </w:rPr>
        <w:t>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73" w:lineRule="exact"/>
        <w:rPr>
          <w:rFonts w:ascii="Times New Roman" w:cs="Times New Roman" w:eastAsia="Times New Roman" w:hAnsi="Times New Roman"/>
          <w:sz w:val="22"/>
          <w:szCs w:val="22"/>
          <w:b w:val="1"/>
          <w:bCs w:val="1"/>
          <w:color w:val="auto"/>
        </w:rPr>
      </w:pPr>
    </w:p>
    <w:p>
      <w:pPr>
        <w:jc w:val="both"/>
        <w:ind w:left="1380" w:right="299" w:firstLine="1289"/>
        <w:spacing w:after="0" w:line="234" w:lineRule="auto"/>
        <w:tabs>
          <w:tab w:leader="none" w:pos="3108" w:val="left"/>
        </w:tabs>
        <w:numPr>
          <w:ilvl w:val="2"/>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Actions that Do Not Constitute Issuance of Common Stock and Do Not Reduce Share Reserve. </w:t>
      </w:r>
      <w:r>
        <w:rPr>
          <w:rFonts w:ascii="Times New Roman" w:cs="Times New Roman" w:eastAsia="Times New Roman" w:hAnsi="Times New Roman"/>
          <w:sz w:val="22"/>
          <w:szCs w:val="22"/>
          <w:color w:val="auto"/>
        </w:rPr>
        <w:t>The following actions do not result in an issuance of shares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79" w:lineRule="exact"/>
        <w:rPr>
          <w:rFonts w:ascii="Times New Roman" w:cs="Times New Roman" w:eastAsia="Times New Roman" w:hAnsi="Times New Roman"/>
          <w:sz w:val="22"/>
          <w:szCs w:val="22"/>
          <w:b w:val="1"/>
          <w:bCs w:val="1"/>
          <w:color w:val="auto"/>
        </w:rPr>
      </w:pPr>
    </w:p>
    <w:p>
      <w:pPr>
        <w:jc w:val="both"/>
        <w:ind w:left="1380" w:right="299" w:firstLine="1289"/>
        <w:spacing w:after="0" w:line="247" w:lineRule="auto"/>
        <w:tabs>
          <w:tab w:leader="none" w:pos="3108" w:val="left"/>
        </w:tabs>
        <w:numPr>
          <w:ilvl w:val="2"/>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Reversion of Previously Issued Shares of Common Stock to Share Reserve. </w:t>
      </w:r>
      <w:r>
        <w:rPr>
          <w:rFonts w:ascii="Times New Roman" w:cs="Times New Roman" w:eastAsia="Times New Roman" w:hAnsi="Times New Roman"/>
          <w:sz w:val="21"/>
          <w:szCs w:val="21"/>
          <w:color w:val="auto"/>
        </w:rPr>
        <w:t>The following shares of Common Stock previously issued pursuant to an Award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71" w:lineRule="exact"/>
        <w:rPr>
          <w:rFonts w:ascii="Times New Roman" w:cs="Times New Roman" w:eastAsia="Times New Roman" w:hAnsi="Times New Roman"/>
          <w:sz w:val="21"/>
          <w:szCs w:val="21"/>
          <w:b w:val="1"/>
          <w:bCs w:val="1"/>
          <w:color w:val="auto"/>
        </w:rPr>
      </w:pPr>
    </w:p>
    <w:p>
      <w:pPr>
        <w:ind w:left="1720" w:hanging="428"/>
        <w:spacing w:after="0"/>
        <w:tabs>
          <w:tab w:leader="none" w:pos="172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1300" w:right="319" w:firstLine="640"/>
        <w:spacing w:after="0" w:line="262" w:lineRule="auto"/>
        <w:tabs>
          <w:tab w:leader="none" w:pos="238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Eligible Award Recipients. </w:t>
      </w:r>
      <w:r>
        <w:rPr>
          <w:rFonts w:ascii="Times New Roman" w:cs="Times New Roman" w:eastAsia="Times New Roman" w:hAnsi="Times New Roman"/>
          <w:sz w:val="22"/>
          <w:szCs w:val="22"/>
          <w:color w:val="auto"/>
        </w:rPr>
        <w:t>Subject to the terms of the Plan, Employees,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Consultants are eligible to receive Awards.</w:t>
      </w:r>
    </w:p>
    <w:p>
      <w:pPr>
        <w:spacing w:after="0" w:line="149" w:lineRule="exact"/>
        <w:rPr>
          <w:rFonts w:ascii="Times New Roman" w:cs="Times New Roman" w:eastAsia="Times New Roman" w:hAnsi="Times New Roman"/>
          <w:sz w:val="22"/>
          <w:szCs w:val="22"/>
          <w:b w:val="1"/>
          <w:bCs w:val="1"/>
          <w:color w:val="auto"/>
        </w:rPr>
      </w:pPr>
    </w:p>
    <w:p>
      <w:pPr>
        <w:ind w:left="2380" w:hanging="440"/>
        <w:spacing w:after="0"/>
        <w:tabs>
          <w:tab w:leader="none" w:pos="238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Specific Award Limitations.</w:t>
      </w:r>
    </w:p>
    <w:p>
      <w:pPr>
        <w:spacing w:after="0" w:line="206" w:lineRule="exact"/>
        <w:rPr>
          <w:rFonts w:ascii="Times New Roman" w:cs="Times New Roman" w:eastAsia="Times New Roman" w:hAnsi="Times New Roman"/>
          <w:sz w:val="22"/>
          <w:szCs w:val="22"/>
          <w:b w:val="1"/>
          <w:bCs w:val="1"/>
          <w:color w:val="auto"/>
        </w:rPr>
      </w:pPr>
    </w:p>
    <w:p>
      <w:pPr>
        <w:jc w:val="both"/>
        <w:ind w:left="1380" w:right="319" w:firstLine="1289"/>
        <w:spacing w:after="0" w:line="241" w:lineRule="auto"/>
        <w:tabs>
          <w:tab w:leader="none" w:pos="3108" w:val="left"/>
        </w:tabs>
        <w:numPr>
          <w:ilvl w:val="2"/>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Limitations on Incentive Stock Option Recipients. </w:t>
      </w:r>
      <w:r>
        <w:rPr>
          <w:rFonts w:ascii="Times New Roman" w:cs="Times New Roman" w:eastAsia="Times New Roman" w:hAnsi="Times New Roman"/>
          <w:sz w:val="22"/>
          <w:szCs w:val="22"/>
          <w:color w:val="auto"/>
        </w:rPr>
        <w:t>Incentive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may be granted only to Employees of the Company or a “parent corporation” or “subsidiary corporation” thereof (as such terms are defined in Sections 424(e) and (f) of the Code).</w:t>
      </w:r>
    </w:p>
    <w:p>
      <w:pPr>
        <w:spacing w:after="0" w:line="171" w:lineRule="exact"/>
        <w:rPr>
          <w:rFonts w:ascii="Times New Roman" w:cs="Times New Roman" w:eastAsia="Times New Roman" w:hAnsi="Times New Roman"/>
          <w:sz w:val="22"/>
          <w:szCs w:val="22"/>
          <w:b w:val="1"/>
          <w:bCs w:val="1"/>
          <w:color w:val="auto"/>
        </w:rPr>
      </w:pPr>
    </w:p>
    <w:p>
      <w:pPr>
        <w:jc w:val="both"/>
        <w:ind w:left="1380" w:right="299" w:firstLine="1289"/>
        <w:spacing w:after="0" w:line="256" w:lineRule="auto"/>
        <w:tabs>
          <w:tab w:leader="none" w:pos="3108" w:val="left"/>
        </w:tabs>
        <w:numPr>
          <w:ilvl w:val="2"/>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Incentive Stock Option $100,000 Limitation. </w:t>
      </w:r>
      <w:r>
        <w:rPr>
          <w:rFonts w:ascii="Times New Roman" w:cs="Times New Roman" w:eastAsia="Times New Roman" w:hAnsi="Times New Roman"/>
          <w:sz w:val="21"/>
          <w:szCs w:val="21"/>
          <w:color w:val="auto"/>
        </w:rPr>
        <w:t>To the extent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aggregate Fair Market Value (determined at the time of grant) of Common Stock with respect to which Incentive Stock Options are exercisable for the first time by any Optionholder during any calendar year (under all plans of the Company and any Affiliates) exceeds $100,000 (or such</w:t>
      </w:r>
    </w:p>
    <w:p>
      <w:pPr>
        <w:spacing w:after="0" w:line="35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7" w:name="page8"/>
    <w:bookmarkEnd w:id="7"/>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80" w:right="299"/>
        <w:spacing w:after="0" w:line="238" w:lineRule="auto"/>
        <w:rPr>
          <w:sz w:val="20"/>
          <w:szCs w:val="20"/>
          <w:color w:val="auto"/>
        </w:rPr>
      </w:pPr>
      <w:r>
        <w:rPr>
          <w:rFonts w:ascii="Times New Roman" w:cs="Times New Roman" w:eastAsia="Times New Roman" w:hAnsi="Times New Roman"/>
          <w:sz w:val="22"/>
          <w:szCs w:val="22"/>
          <w:color w:val="auto"/>
        </w:rPr>
        <w:t>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73" w:lineRule="exact"/>
        <w:rPr>
          <w:sz w:val="20"/>
          <w:szCs w:val="20"/>
          <w:color w:val="auto"/>
        </w:rPr>
      </w:pPr>
    </w:p>
    <w:p>
      <w:pPr>
        <w:jc w:val="both"/>
        <w:ind w:left="1380" w:right="319" w:firstLine="1289"/>
        <w:spacing w:after="0" w:line="255" w:lineRule="auto"/>
        <w:tabs>
          <w:tab w:leader="none" w:pos="3108" w:val="left"/>
        </w:tabs>
        <w:numPr>
          <w:ilvl w:val="2"/>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Limitations on Incentive Stock Options Granted to Ten Percent Stockholders. </w:t>
      </w:r>
      <w:r>
        <w:rPr>
          <w:rFonts w:ascii="Times New Roman" w:cs="Times New Roman" w:eastAsia="Times New Roman" w:hAnsi="Times New Roman"/>
          <w:sz w:val="21"/>
          <w:szCs w:val="21"/>
          <w:color w:val="auto"/>
        </w:rPr>
        <w:t>A Ten Percent Stockholder may not be granted an Incentive Stock Option unless</w:t>
      </w:r>
    </w:p>
    <w:p>
      <w:pPr>
        <w:jc w:val="both"/>
        <w:ind w:left="1380" w:right="299" w:hanging="7"/>
        <w:spacing w:after="0" w:line="235" w:lineRule="auto"/>
        <w:tabs>
          <w:tab w:leader="none" w:pos="16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such Option is at least 110% of the Fair Market Value on the date of grant of such Option and (ii) the Option is not exercisable after the expiration of five years from the date of grant of such Option.</w:t>
      </w:r>
    </w:p>
    <w:p>
      <w:pPr>
        <w:spacing w:after="0" w:line="173" w:lineRule="exact"/>
        <w:rPr>
          <w:rFonts w:ascii="Times New Roman" w:cs="Times New Roman" w:eastAsia="Times New Roman" w:hAnsi="Times New Roman"/>
          <w:sz w:val="22"/>
          <w:szCs w:val="22"/>
          <w:color w:val="auto"/>
        </w:rPr>
      </w:pPr>
    </w:p>
    <w:p>
      <w:pPr>
        <w:jc w:val="both"/>
        <w:ind w:left="1380" w:right="299" w:firstLine="1289"/>
        <w:spacing w:after="0" w:line="236" w:lineRule="auto"/>
        <w:tabs>
          <w:tab w:leader="none" w:pos="3108" w:val="left"/>
        </w:tabs>
        <w:numPr>
          <w:ilvl w:val="2"/>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Limitations on Nonstatutory Stock Options and SARs. </w:t>
      </w:r>
      <w:r>
        <w:rPr>
          <w:rFonts w:ascii="Times New Roman" w:cs="Times New Roman" w:eastAsia="Times New Roman" w:hAnsi="Times New Roman"/>
          <w:sz w:val="22"/>
          <w:szCs w:val="22"/>
          <w:color w:val="auto"/>
        </w:rPr>
        <w:t>Nonstatutory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5" w:lineRule="exact"/>
        <w:rPr>
          <w:rFonts w:ascii="Times New Roman" w:cs="Times New Roman" w:eastAsia="Times New Roman" w:hAnsi="Times New Roman"/>
          <w:sz w:val="22"/>
          <w:szCs w:val="22"/>
          <w:b w:val="1"/>
          <w:bCs w:val="1"/>
          <w:color w:val="auto"/>
        </w:rPr>
      </w:pPr>
    </w:p>
    <w:p>
      <w:pPr>
        <w:jc w:val="both"/>
        <w:ind w:left="1300" w:right="299" w:firstLine="640"/>
        <w:spacing w:after="0" w:line="246" w:lineRule="auto"/>
        <w:tabs>
          <w:tab w:leader="none" w:pos="2380"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Aggregate Incentive Stock Option Limit. </w:t>
      </w:r>
      <w:r>
        <w:rPr>
          <w:rFonts w:ascii="Times New Roman" w:cs="Times New Roman" w:eastAsia="Times New Roman" w:hAnsi="Times New Roman"/>
          <w:sz w:val="22"/>
          <w:szCs w:val="22"/>
          <w:color w:val="auto"/>
        </w:rPr>
        <w:t>The aggregate maximum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that may be issued pursuant to the exercise of Incentive Stock Options is the number of shares specified in Section 2(b).</w:t>
      </w:r>
    </w:p>
    <w:p>
      <w:pPr>
        <w:spacing w:after="0" w:line="167" w:lineRule="exact"/>
        <w:rPr>
          <w:rFonts w:ascii="Times New Roman" w:cs="Times New Roman" w:eastAsia="Times New Roman" w:hAnsi="Times New Roman"/>
          <w:sz w:val="22"/>
          <w:szCs w:val="22"/>
          <w:b w:val="1"/>
          <w:bCs w:val="1"/>
          <w:color w:val="auto"/>
        </w:rPr>
      </w:pPr>
    </w:p>
    <w:p>
      <w:pPr>
        <w:jc w:val="both"/>
        <w:ind w:left="1300" w:right="299" w:firstLine="640"/>
        <w:spacing w:after="0" w:line="233" w:lineRule="auto"/>
        <w:tabs>
          <w:tab w:leader="none" w:pos="2380"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Non-Employee Director Compensation Limit. </w:t>
      </w:r>
      <w:r>
        <w:rPr>
          <w:rFonts w:ascii="Times New Roman" w:cs="Times New Roman" w:eastAsia="Times New Roman" w:hAnsi="Times New Roman"/>
          <w:sz w:val="22"/>
          <w:szCs w:val="22"/>
          <w:color w:val="auto"/>
        </w:rPr>
        <w:t>The aggregate value of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granted or paid, as applicable, to any individual for service as a Non-Employee Director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Times New Roman" w:cs="Times New Roman" w:eastAsia="Times New Roman" w:hAnsi="Times New Roman"/>
          <w:sz w:val="22"/>
          <w:szCs w:val="22"/>
          <w:b w:val="1"/>
          <w:bCs w:val="1"/>
          <w:i w:val="1"/>
          <w:i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including Awards granted and cash fees paid by the Company to such Non-Employee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 will not exceed (i) $750,000 in total value or (ii) in the event such Non-Employee Director is first appointed or elected to the Board during such Annual Period, $1,000,000 in total value, in each case calculating the value of any equity awards based on the grant date fair value of such equity awards for financial reporting purposes. The limitations in this Section 3(d) shall apply commencing with the Annual Period that begins on the Company’s first Annual Meeting of Stockholders following the Effective Date.</w:t>
      </w:r>
    </w:p>
    <w:p>
      <w:pPr>
        <w:spacing w:after="0" w:line="184" w:lineRule="exact"/>
        <w:rPr>
          <w:rFonts w:ascii="Times New Roman" w:cs="Times New Roman" w:eastAsia="Times New Roman" w:hAnsi="Times New Roman"/>
          <w:sz w:val="22"/>
          <w:szCs w:val="22"/>
          <w:b w:val="1"/>
          <w:bCs w:val="1"/>
          <w:color w:val="auto"/>
        </w:rPr>
      </w:pPr>
    </w:p>
    <w:p>
      <w:pPr>
        <w:jc w:val="both"/>
        <w:ind w:left="1300" w:right="299" w:firstLine="640"/>
        <w:spacing w:after="0" w:line="235" w:lineRule="auto"/>
        <w:tabs>
          <w:tab w:leader="none" w:pos="2380"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Accelerated Vesting on Termination of Continuous Service Due to Death. </w:t>
      </w:r>
      <w:r>
        <w:rPr>
          <w:rFonts w:ascii="Times New Roman" w:cs="Times New Roman" w:eastAsia="Times New Roman" w:hAnsi="Times New Roman"/>
          <w:sz w:val="22"/>
          <w:szCs w:val="22"/>
          <w:color w:val="auto"/>
        </w:rPr>
        <w:t>Except as otherwise provided in an Award Agreement or other written agreement between such a Participant and the Company or an Affiliate, if the Continuous Service of a Participant who is an Employee is terminated due to such Participant’s death, the vesting of any outstanding and unvested Awards held by such Participant, solely to the extent subject to time-based vesting, will accelerate in full. For the avoidance of doubt, this Section 3(e) shall not apply to any Awards that vest based on the achievement of performance conditions or to any Awards held by Participants who are not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8" w:name="page9"/>
    <w:bookmarkEnd w:id="8"/>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20" w:hanging="428"/>
        <w:spacing w:after="0"/>
        <w:tabs>
          <w:tab w:leader="none" w:pos="172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1300" w:right="299" w:firstLine="648"/>
        <w:spacing w:after="0" w:line="234" w:lineRule="auto"/>
        <w:rPr>
          <w:sz w:val="20"/>
          <w:szCs w:val="20"/>
          <w:color w:val="auto"/>
        </w:rPr>
      </w:pPr>
      <w:r>
        <w:rPr>
          <w:rFonts w:ascii="Times New Roman" w:cs="Times New Roman" w:eastAsia="Times New Roman" w:hAnsi="Times New Roman"/>
          <w:sz w:val="22"/>
          <w:szCs w:val="22"/>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79" w:lineRule="exact"/>
        <w:rPr>
          <w:sz w:val="20"/>
          <w:szCs w:val="20"/>
          <w:color w:val="auto"/>
        </w:rPr>
      </w:pPr>
    </w:p>
    <w:p>
      <w:pPr>
        <w:jc w:val="both"/>
        <w:ind w:left="1300" w:right="299" w:firstLine="640"/>
        <w:spacing w:after="0" w:line="246" w:lineRule="auto"/>
        <w:tabs>
          <w:tab w:leader="none" w:pos="238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 </w:t>
      </w:r>
      <w:r>
        <w:rPr>
          <w:rFonts w:ascii="Times New Roman" w:cs="Times New Roman" w:eastAsia="Times New Roman" w:hAnsi="Times New Roman"/>
          <w:sz w:val="22"/>
          <w:szCs w:val="22"/>
          <w:color w:val="auto"/>
        </w:rPr>
        <w:t>Subject to Section 3(b) regarding Ten Percent Stockholders, no Option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SAR will be exercisable after the expiration of ten years from the date of grant of such Award or such shorter period specified in the Award Agreement.</w:t>
      </w:r>
    </w:p>
    <w:p>
      <w:pPr>
        <w:spacing w:after="0" w:line="167" w:lineRule="exact"/>
        <w:rPr>
          <w:rFonts w:ascii="Times New Roman" w:cs="Times New Roman" w:eastAsia="Times New Roman" w:hAnsi="Times New Roman"/>
          <w:sz w:val="22"/>
          <w:szCs w:val="22"/>
          <w:b w:val="1"/>
          <w:bCs w:val="1"/>
          <w:color w:val="auto"/>
        </w:rPr>
      </w:pPr>
    </w:p>
    <w:p>
      <w:pPr>
        <w:jc w:val="both"/>
        <w:ind w:left="1300" w:right="299" w:firstLine="640"/>
        <w:spacing w:after="0" w:line="235" w:lineRule="auto"/>
        <w:tabs>
          <w:tab w:leader="none" w:pos="238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or Strike Price. </w:t>
      </w:r>
      <w:r>
        <w:rPr>
          <w:rFonts w:ascii="Times New Roman" w:cs="Times New Roman" w:eastAsia="Times New Roman" w:hAnsi="Times New Roman"/>
          <w:sz w:val="22"/>
          <w:szCs w:val="22"/>
          <w:color w:val="auto"/>
        </w:rPr>
        <w:t>Subject to Section 3(b) regarding Ten Percent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8" w:lineRule="exact"/>
        <w:rPr>
          <w:rFonts w:ascii="Times New Roman" w:cs="Times New Roman" w:eastAsia="Times New Roman" w:hAnsi="Times New Roman"/>
          <w:sz w:val="22"/>
          <w:szCs w:val="22"/>
          <w:b w:val="1"/>
          <w:bCs w:val="1"/>
          <w:color w:val="auto"/>
        </w:rPr>
      </w:pPr>
    </w:p>
    <w:p>
      <w:pPr>
        <w:jc w:val="both"/>
        <w:ind w:left="1300" w:right="299" w:firstLine="640"/>
        <w:spacing w:after="0" w:line="235" w:lineRule="auto"/>
        <w:tabs>
          <w:tab w:leader="none" w:pos="238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Procedure and Payment of Exercise Price for Options. </w:t>
      </w:r>
      <w:r>
        <w:rPr>
          <w:rFonts w:ascii="Times New Roman" w:cs="Times New Roman" w:eastAsia="Times New Roman" w:hAnsi="Times New Roman"/>
          <w:sz w:val="22"/>
          <w:szCs w:val="22"/>
          <w:color w:val="auto"/>
        </w:rPr>
        <w:t>In order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77" w:lineRule="exact"/>
        <w:rPr>
          <w:rFonts w:ascii="Times New Roman" w:cs="Times New Roman" w:eastAsia="Times New Roman" w:hAnsi="Times New Roman"/>
          <w:sz w:val="22"/>
          <w:szCs w:val="22"/>
          <w:b w:val="1"/>
          <w:bCs w:val="1"/>
          <w:color w:val="auto"/>
        </w:rPr>
      </w:pPr>
    </w:p>
    <w:p>
      <w:pPr>
        <w:ind w:left="3100" w:hanging="431"/>
        <w:spacing w:after="0"/>
        <w:tabs>
          <w:tab w:leader="none" w:pos="3100"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cash or check, bank draft or money order payable to the Company;</w:t>
      </w:r>
    </w:p>
    <w:p>
      <w:pPr>
        <w:spacing w:after="0" w:line="206" w:lineRule="exact"/>
        <w:rPr>
          <w:rFonts w:ascii="Times New Roman" w:cs="Times New Roman" w:eastAsia="Times New Roman" w:hAnsi="Times New Roman"/>
          <w:sz w:val="22"/>
          <w:szCs w:val="22"/>
          <w:b w:val="1"/>
          <w:bCs w:val="1"/>
          <w:color w:val="auto"/>
        </w:rPr>
      </w:pPr>
    </w:p>
    <w:p>
      <w:pPr>
        <w:jc w:val="both"/>
        <w:ind w:left="1380" w:right="299" w:firstLine="1289"/>
        <w:spacing w:after="0" w:line="238" w:lineRule="auto"/>
        <w:tabs>
          <w:tab w:leader="none" w:pos="3108"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6" w:lineRule="exact"/>
        <w:rPr>
          <w:rFonts w:ascii="Times New Roman" w:cs="Times New Roman" w:eastAsia="Times New Roman" w:hAnsi="Times New Roman"/>
          <w:sz w:val="22"/>
          <w:szCs w:val="22"/>
          <w:b w:val="1"/>
          <w:bCs w:val="1"/>
          <w:color w:val="auto"/>
        </w:rPr>
      </w:pPr>
    </w:p>
    <w:p>
      <w:pPr>
        <w:jc w:val="both"/>
        <w:ind w:left="1380" w:right="299" w:firstLine="1289"/>
        <w:spacing w:after="0" w:line="235" w:lineRule="auto"/>
        <w:tabs>
          <w:tab w:leader="none" w:pos="3148"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w:t>
      </w:r>
    </w:p>
    <w:p>
      <w:pPr>
        <w:spacing w:after="0" w:line="3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9" w:name="page10"/>
    <w:bookmarkEnd w:id="9"/>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80" w:right="299"/>
        <w:spacing w:after="0" w:line="239" w:lineRule="auto"/>
        <w:rPr>
          <w:sz w:val="20"/>
          <w:szCs w:val="20"/>
          <w:color w:val="auto"/>
        </w:rPr>
      </w:pPr>
      <w:r>
        <w:rPr>
          <w:rFonts w:ascii="Times New Roman" w:cs="Times New Roman" w:eastAsia="Times New Roman" w:hAnsi="Times New Roman"/>
          <w:sz w:val="22"/>
          <w:szCs w:val="22"/>
          <w:color w:val="auto"/>
        </w:rPr>
        <w:t>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0" w:lineRule="exact"/>
        <w:rPr>
          <w:sz w:val="20"/>
          <w:szCs w:val="20"/>
          <w:color w:val="auto"/>
        </w:rPr>
      </w:pPr>
    </w:p>
    <w:p>
      <w:pPr>
        <w:jc w:val="both"/>
        <w:ind w:left="1380" w:right="299" w:firstLine="1289"/>
        <w:spacing w:after="0" w:line="235" w:lineRule="auto"/>
        <w:tabs>
          <w:tab w:leader="none" w:pos="3189"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83" w:lineRule="exact"/>
        <w:rPr>
          <w:rFonts w:ascii="Times New Roman" w:cs="Times New Roman" w:eastAsia="Times New Roman" w:hAnsi="Times New Roman"/>
          <w:sz w:val="22"/>
          <w:szCs w:val="22"/>
          <w:b w:val="1"/>
          <w:bCs w:val="1"/>
          <w:color w:val="auto"/>
        </w:rPr>
      </w:pPr>
    </w:p>
    <w:p>
      <w:pPr>
        <w:ind w:left="1380" w:right="319" w:firstLine="1289"/>
        <w:spacing w:after="0" w:line="258" w:lineRule="auto"/>
        <w:tabs>
          <w:tab w:leader="none" w:pos="3108"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any other form of consideration that may be acceptable to the Board and permissible under Applicable Law.</w:t>
      </w:r>
    </w:p>
    <w:p>
      <w:pPr>
        <w:spacing w:after="0" w:line="154" w:lineRule="exact"/>
        <w:rPr>
          <w:rFonts w:ascii="Times New Roman" w:cs="Times New Roman" w:eastAsia="Times New Roman" w:hAnsi="Times New Roman"/>
          <w:sz w:val="22"/>
          <w:szCs w:val="22"/>
          <w:b w:val="1"/>
          <w:bCs w:val="1"/>
          <w:color w:val="auto"/>
        </w:rPr>
      </w:pPr>
    </w:p>
    <w:p>
      <w:pPr>
        <w:jc w:val="both"/>
        <w:ind w:left="1300" w:right="299" w:firstLine="640"/>
        <w:spacing w:after="0" w:line="234" w:lineRule="auto"/>
        <w:tabs>
          <w:tab w:leader="none" w:pos="23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Procedure and Payment of Appreciation Distribution for SARs. </w:t>
      </w:r>
      <w:r>
        <w:rPr>
          <w:rFonts w:ascii="Times New Roman" w:cs="Times New Roman" w:eastAsia="Times New Roman" w:hAnsi="Times New Roman"/>
          <w:sz w:val="22"/>
          <w:szCs w:val="22"/>
          <w:color w:val="auto"/>
        </w:rPr>
        <w:t>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79" w:lineRule="exact"/>
        <w:rPr>
          <w:rFonts w:ascii="Times New Roman" w:cs="Times New Roman" w:eastAsia="Times New Roman" w:hAnsi="Times New Roman"/>
          <w:sz w:val="22"/>
          <w:szCs w:val="22"/>
          <w:b w:val="1"/>
          <w:bCs w:val="1"/>
          <w:color w:val="auto"/>
        </w:rPr>
      </w:pPr>
    </w:p>
    <w:p>
      <w:pPr>
        <w:jc w:val="both"/>
        <w:ind w:left="1300" w:right="299" w:firstLine="640"/>
        <w:spacing w:after="0" w:line="236" w:lineRule="auto"/>
        <w:tabs>
          <w:tab w:leader="none" w:pos="23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Options and SARs may not be transferred to third party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if an Option is an Incentive Stock Option, such Option may be deemed to be a Nonstatutory Stock Option as a result of such transfer:</w:t>
      </w:r>
    </w:p>
    <w:p>
      <w:pPr>
        <w:spacing w:after="0" w:line="175" w:lineRule="exact"/>
        <w:rPr>
          <w:rFonts w:ascii="Times New Roman" w:cs="Times New Roman" w:eastAsia="Times New Roman" w:hAnsi="Times New Roman"/>
          <w:sz w:val="22"/>
          <w:szCs w:val="22"/>
          <w:b w:val="1"/>
          <w:bCs w:val="1"/>
          <w:color w:val="auto"/>
        </w:rPr>
      </w:pPr>
    </w:p>
    <w:p>
      <w:pPr>
        <w:jc w:val="both"/>
        <w:ind w:left="1380" w:right="299" w:firstLine="1289"/>
        <w:spacing w:after="0" w:line="247" w:lineRule="auto"/>
        <w:tabs>
          <w:tab w:leader="none" w:pos="3108"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Restrictions on Transfer. </w:t>
      </w:r>
      <w:r>
        <w:rPr>
          <w:rFonts w:ascii="Times New Roman" w:cs="Times New Roman" w:eastAsia="Times New Roman" w:hAnsi="Times New Roman"/>
          <w:sz w:val="21"/>
          <w:szCs w:val="21"/>
          <w:color w:val="auto"/>
        </w:rPr>
        <w:t>An Option or SAR will not be transferable,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1" w:lineRule="exact"/>
        <w:rPr>
          <w:rFonts w:ascii="Times New Roman" w:cs="Times New Roman" w:eastAsia="Times New Roman" w:hAnsi="Times New Roman"/>
          <w:sz w:val="21"/>
          <w:szCs w:val="21"/>
          <w:b w:val="1"/>
          <w:bCs w:val="1"/>
          <w:color w:val="auto"/>
        </w:rPr>
      </w:pPr>
    </w:p>
    <w:p>
      <w:pPr>
        <w:ind w:left="1380" w:right="299" w:firstLine="1289"/>
        <w:spacing w:after="0" w:line="286" w:lineRule="auto"/>
        <w:tabs>
          <w:tab w:leader="none" w:pos="3108"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Domestic Relations Orders. </w:t>
      </w:r>
      <w:r>
        <w:rPr>
          <w:rFonts w:ascii="Times New Roman" w:cs="Times New Roman" w:eastAsia="Times New Roman" w:hAnsi="Times New Roman"/>
          <w:sz w:val="21"/>
          <w:szCs w:val="21"/>
          <w:color w:val="auto"/>
        </w:rPr>
        <w:t>Notwithstanding the foregoing,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execution of transfer documentation in a format acceptable to the Company and subject to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80" w:right="319"/>
        <w:spacing w:after="0" w:line="258" w:lineRule="auto"/>
        <w:rPr>
          <w:sz w:val="20"/>
          <w:szCs w:val="20"/>
          <w:color w:val="auto"/>
        </w:rPr>
      </w:pPr>
      <w:r>
        <w:rPr>
          <w:rFonts w:ascii="Times New Roman" w:cs="Times New Roman" w:eastAsia="Times New Roman" w:hAnsi="Times New Roman"/>
          <w:sz w:val="22"/>
          <w:szCs w:val="22"/>
          <w:color w:val="auto"/>
        </w:rPr>
        <w:t>approval of the Board or a duly authorized Officer, an Option or SAR may be transferred pursuant to a domestic relations order.</w:t>
      </w:r>
    </w:p>
    <w:p>
      <w:pPr>
        <w:spacing w:after="0" w:line="154" w:lineRule="exact"/>
        <w:rPr>
          <w:sz w:val="20"/>
          <w:szCs w:val="20"/>
          <w:color w:val="auto"/>
        </w:rPr>
      </w:pPr>
    </w:p>
    <w:p>
      <w:pPr>
        <w:jc w:val="both"/>
        <w:ind w:left="1300" w:right="299" w:firstLine="640"/>
        <w:spacing w:after="0" w:line="238" w:lineRule="auto"/>
        <w:tabs>
          <w:tab w:leader="none" w:pos="23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The Board may impose such restrictions on or conditions to the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and/or exercisability of an Option or SAR as determined by the Board. Except as otherwise provided in the Plan, the Award Agreement or other written agreement between a Participant and the Company or an Affiliate, vesting of Options and SARs will cease upon termination of the Participant’s Continuous Service.</w:t>
      </w:r>
    </w:p>
    <w:p>
      <w:pPr>
        <w:spacing w:after="0" w:line="176" w:lineRule="exact"/>
        <w:rPr>
          <w:rFonts w:ascii="Times New Roman" w:cs="Times New Roman" w:eastAsia="Times New Roman" w:hAnsi="Times New Roman"/>
          <w:sz w:val="22"/>
          <w:szCs w:val="22"/>
          <w:b w:val="1"/>
          <w:bCs w:val="1"/>
          <w:color w:val="auto"/>
        </w:rPr>
      </w:pPr>
    </w:p>
    <w:p>
      <w:pPr>
        <w:jc w:val="both"/>
        <w:ind w:left="1300" w:right="299" w:firstLine="640"/>
        <w:spacing w:after="0" w:line="235" w:lineRule="auto"/>
        <w:tabs>
          <w:tab w:leader="none" w:pos="23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Continuous Service for Cause. </w:t>
      </w:r>
      <w:r>
        <w:rPr>
          <w:rFonts w:ascii="Times New Roman" w:cs="Times New Roman" w:eastAsia="Times New Roman" w:hAnsi="Times New Roman"/>
          <w:sz w:val="22"/>
          <w:szCs w:val="22"/>
          <w:color w:val="auto"/>
        </w:rPr>
        <w:t>Except as explicitly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73" w:lineRule="exact"/>
        <w:rPr>
          <w:rFonts w:ascii="Times New Roman" w:cs="Times New Roman" w:eastAsia="Times New Roman" w:hAnsi="Times New Roman"/>
          <w:sz w:val="22"/>
          <w:szCs w:val="22"/>
          <w:b w:val="1"/>
          <w:bCs w:val="1"/>
          <w:color w:val="auto"/>
        </w:rPr>
      </w:pPr>
    </w:p>
    <w:p>
      <w:pPr>
        <w:ind w:left="1300" w:right="299" w:firstLine="640"/>
        <w:spacing w:after="0" w:line="248" w:lineRule="auto"/>
        <w:tabs>
          <w:tab w:leader="none" w:pos="2380"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21"/>
          <w:szCs w:val="21"/>
          <w:color w:val="auto"/>
        </w:rPr>
        <w:t>Subject to Section 4(j), if a Participant’s Continuous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74" w:lineRule="exact"/>
        <w:rPr>
          <w:rFonts w:ascii="Times New Roman" w:cs="Times New Roman" w:eastAsia="Times New Roman" w:hAnsi="Times New Roman"/>
          <w:sz w:val="21"/>
          <w:szCs w:val="21"/>
          <w:b w:val="1"/>
          <w:bCs w:val="1"/>
          <w:color w:val="auto"/>
        </w:rPr>
      </w:pPr>
    </w:p>
    <w:p>
      <w:pPr>
        <w:jc w:val="both"/>
        <w:ind w:left="1380" w:right="299" w:firstLine="1289"/>
        <w:spacing w:after="0" w:line="244" w:lineRule="auto"/>
        <w:tabs>
          <w:tab w:leader="none" w:pos="3108"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three months following the date of such termination if such termination is a termination without Cause (other than any termination due to the Participant’s Disability or death);</w:t>
      </w:r>
    </w:p>
    <w:p>
      <w:pPr>
        <w:spacing w:after="0" w:line="173" w:lineRule="exact"/>
        <w:rPr>
          <w:rFonts w:ascii="Times New Roman" w:cs="Times New Roman" w:eastAsia="Times New Roman" w:hAnsi="Times New Roman"/>
          <w:sz w:val="22"/>
          <w:szCs w:val="22"/>
          <w:b w:val="1"/>
          <w:bCs w:val="1"/>
          <w:color w:val="auto"/>
        </w:rPr>
      </w:pPr>
    </w:p>
    <w:p>
      <w:pPr>
        <w:ind w:left="1380" w:right="299" w:firstLine="1289"/>
        <w:spacing w:after="0" w:line="258" w:lineRule="auto"/>
        <w:tabs>
          <w:tab w:leader="none" w:pos="3108"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12 months following the date of such termination if such termination is due to the Participant’s Disability;</w:t>
      </w:r>
    </w:p>
    <w:p>
      <w:pPr>
        <w:spacing w:after="0" w:line="158" w:lineRule="exact"/>
        <w:rPr>
          <w:rFonts w:ascii="Times New Roman" w:cs="Times New Roman" w:eastAsia="Times New Roman" w:hAnsi="Times New Roman"/>
          <w:sz w:val="22"/>
          <w:szCs w:val="22"/>
          <w:b w:val="1"/>
          <w:bCs w:val="1"/>
          <w:color w:val="auto"/>
        </w:rPr>
      </w:pPr>
    </w:p>
    <w:p>
      <w:pPr>
        <w:ind w:left="1380" w:right="299" w:firstLine="1289"/>
        <w:spacing w:after="0" w:line="258" w:lineRule="auto"/>
        <w:tabs>
          <w:tab w:leader="none" w:pos="3108"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18 months following the date of such termination if such termination is due to the Participant’s death; or</w:t>
      </w:r>
    </w:p>
    <w:p>
      <w:pPr>
        <w:spacing w:after="0" w:line="158" w:lineRule="exact"/>
        <w:rPr>
          <w:rFonts w:ascii="Times New Roman" w:cs="Times New Roman" w:eastAsia="Times New Roman" w:hAnsi="Times New Roman"/>
          <w:sz w:val="22"/>
          <w:szCs w:val="22"/>
          <w:b w:val="1"/>
          <w:bCs w:val="1"/>
          <w:color w:val="auto"/>
        </w:rPr>
      </w:pPr>
    </w:p>
    <w:p>
      <w:pPr>
        <w:jc w:val="both"/>
        <w:ind w:left="1380" w:right="319" w:firstLine="1289"/>
        <w:spacing w:after="0" w:line="244" w:lineRule="auto"/>
        <w:tabs>
          <w:tab w:leader="none" w:pos="3108"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18 months following the date of the Participant’s death if such death occurs following the date of such termination but during the period such Award is otherwise exercisable (as provided in (i) or (ii) above).</w:t>
      </w:r>
    </w:p>
    <w:p>
      <w:pPr>
        <w:spacing w:after="0" w:line="173" w:lineRule="exact"/>
        <w:rPr>
          <w:sz w:val="20"/>
          <w:szCs w:val="20"/>
          <w:color w:val="auto"/>
        </w:rPr>
      </w:pPr>
    </w:p>
    <w:p>
      <w:pPr>
        <w:jc w:val="both"/>
        <w:ind w:left="1300" w:right="299"/>
        <w:spacing w:after="0" w:line="236" w:lineRule="auto"/>
        <w:rPr>
          <w:sz w:val="20"/>
          <w:szCs w:val="20"/>
          <w:color w:val="auto"/>
        </w:rPr>
      </w:pPr>
      <w:r>
        <w:rPr>
          <w:rFonts w:ascii="Times New Roman" w:cs="Times New Roman" w:eastAsia="Times New Roman" w:hAnsi="Times New Roman"/>
          <w:sz w:val="22"/>
          <w:szCs w:val="22"/>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11" w:name="page12"/>
    <w:bookmarkEnd w:id="11"/>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1300" w:right="299" w:firstLine="640"/>
        <w:spacing w:after="0" w:line="233" w:lineRule="auto"/>
        <w:tabs>
          <w:tab w:leader="none" w:pos="2380" w:val="left"/>
        </w:tabs>
        <w:numPr>
          <w:ilvl w:val="1"/>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on Exercise; Extension of Exercisability. </w:t>
      </w:r>
      <w:r>
        <w:rPr>
          <w:rFonts w:ascii="Times New Roman" w:cs="Times New Roman" w:eastAsia="Times New Roman" w:hAnsi="Times New Roman"/>
          <w:sz w:val="22"/>
          <w:szCs w:val="22"/>
          <w:color w:val="auto"/>
        </w:rPr>
        <w:t>A Participant may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74" w:lineRule="exact"/>
        <w:rPr>
          <w:rFonts w:ascii="Times New Roman" w:cs="Times New Roman" w:eastAsia="Times New Roman" w:hAnsi="Times New Roman"/>
          <w:sz w:val="22"/>
          <w:szCs w:val="22"/>
          <w:b w:val="1"/>
          <w:bCs w:val="1"/>
          <w:color w:val="auto"/>
        </w:rPr>
      </w:pPr>
    </w:p>
    <w:p>
      <w:pPr>
        <w:jc w:val="both"/>
        <w:ind w:left="1300" w:right="299" w:firstLine="640"/>
        <w:spacing w:after="0" w:line="233" w:lineRule="auto"/>
        <w:tabs>
          <w:tab w:leader="none" w:pos="2380" w:val="left"/>
        </w:tabs>
        <w:numPr>
          <w:ilvl w:val="1"/>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Non-Exempt Employees. </w:t>
      </w:r>
      <w:r>
        <w:rPr>
          <w:rFonts w:ascii="Times New Roman" w:cs="Times New Roman" w:eastAsia="Times New Roman" w:hAnsi="Times New Roman"/>
          <w:sz w:val="22"/>
          <w:szCs w:val="22"/>
          <w:color w:val="auto"/>
        </w:rPr>
        <w:t>No Option or SAR, whether or not vested, granted 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4(k) is intended to operate so that any income derived by a non-exempt employee in connection with the exercise or vesting of an Option or SAR will be exempt from his or her regular rate of pay.</w:t>
      </w:r>
    </w:p>
    <w:p>
      <w:pPr>
        <w:spacing w:after="0" w:line="182" w:lineRule="exact"/>
        <w:rPr>
          <w:rFonts w:ascii="Times New Roman" w:cs="Times New Roman" w:eastAsia="Times New Roman" w:hAnsi="Times New Roman"/>
          <w:sz w:val="22"/>
          <w:szCs w:val="22"/>
          <w:b w:val="1"/>
          <w:bCs w:val="1"/>
          <w:color w:val="auto"/>
        </w:rPr>
      </w:pPr>
    </w:p>
    <w:p>
      <w:pPr>
        <w:ind w:left="1300" w:right="299" w:firstLine="640"/>
        <w:spacing w:after="0" w:line="262" w:lineRule="auto"/>
        <w:tabs>
          <w:tab w:leader="none" w:pos="2380" w:val="left"/>
        </w:tabs>
        <w:numPr>
          <w:ilvl w:val="1"/>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Whole Shares. </w:t>
      </w:r>
      <w:r>
        <w:rPr>
          <w:rFonts w:ascii="Times New Roman" w:cs="Times New Roman" w:eastAsia="Times New Roman" w:hAnsi="Times New Roman"/>
          <w:sz w:val="22"/>
          <w:szCs w:val="22"/>
          <w:color w:val="auto"/>
        </w:rPr>
        <w:t>Options and SARs may be exercised only with respect to whole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or their equivalents.</w:t>
      </w:r>
    </w:p>
    <w:p>
      <w:pPr>
        <w:spacing w:after="0" w:line="149" w:lineRule="exact"/>
        <w:rPr>
          <w:rFonts w:ascii="Times New Roman" w:cs="Times New Roman" w:eastAsia="Times New Roman" w:hAnsi="Times New Roman"/>
          <w:sz w:val="22"/>
          <w:szCs w:val="22"/>
          <w:b w:val="1"/>
          <w:bCs w:val="1"/>
          <w:color w:val="auto"/>
        </w:rPr>
      </w:pPr>
    </w:p>
    <w:p>
      <w:pPr>
        <w:ind w:left="1720" w:hanging="428"/>
        <w:spacing w:after="0"/>
        <w:tabs>
          <w:tab w:leader="none" w:pos="172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1300" w:right="299" w:firstLine="640"/>
        <w:spacing w:after="0" w:line="238" w:lineRule="auto"/>
        <w:tabs>
          <w:tab w:leader="none" w:pos="2380"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Restricted Stock Awards and RSU Awards. </w:t>
      </w:r>
      <w:r>
        <w:rPr>
          <w:rFonts w:ascii="Times New Roman" w:cs="Times New Roman" w:eastAsia="Times New Roman" w:hAnsi="Times New Roman"/>
          <w:sz w:val="22"/>
          <w:szCs w:val="22"/>
          <w:color w:val="auto"/>
        </w:rPr>
        <w:t>Each Restricted Stock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76" w:lineRule="exact"/>
        <w:rPr>
          <w:rFonts w:ascii="Times New Roman" w:cs="Times New Roman" w:eastAsia="Times New Roman" w:hAnsi="Times New Roman"/>
          <w:sz w:val="22"/>
          <w:szCs w:val="22"/>
          <w:b w:val="1"/>
          <w:bCs w:val="1"/>
          <w:color w:val="auto"/>
        </w:rPr>
      </w:pPr>
    </w:p>
    <w:p>
      <w:pPr>
        <w:ind w:left="3100" w:hanging="431"/>
        <w:spacing w:after="0"/>
        <w:tabs>
          <w:tab w:leader="none" w:pos="3100" w:val="left"/>
        </w:tabs>
        <w:numPr>
          <w:ilvl w:val="2"/>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 of Award.</w:t>
      </w:r>
    </w:p>
    <w:p>
      <w:pPr>
        <w:spacing w:after="0" w:line="210" w:lineRule="exact"/>
        <w:rPr>
          <w:rFonts w:ascii="Times New Roman" w:cs="Times New Roman" w:eastAsia="Times New Roman" w:hAnsi="Times New Roman"/>
          <w:sz w:val="22"/>
          <w:szCs w:val="22"/>
          <w:b w:val="1"/>
          <w:bCs w:val="1"/>
          <w:color w:val="auto"/>
        </w:rPr>
      </w:pPr>
    </w:p>
    <w:p>
      <w:pPr>
        <w:jc w:val="both"/>
        <w:ind w:left="1300" w:right="299" w:firstLine="1936"/>
        <w:spacing w:after="0" w:line="255" w:lineRule="auto"/>
        <w:tabs>
          <w:tab w:leader="none" w:pos="3689" w:val="left"/>
        </w:tabs>
        <w:numPr>
          <w:ilvl w:val="3"/>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w:t>
      </w:r>
    </w:p>
    <w:p>
      <w:pPr>
        <w:spacing w:after="0" w:line="35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00" w:right="299"/>
        <w:spacing w:after="0" w:line="244" w:lineRule="auto"/>
        <w:rPr>
          <w:sz w:val="20"/>
          <w:szCs w:val="20"/>
          <w:color w:val="auto"/>
        </w:rPr>
      </w:pPr>
      <w:r>
        <w:rPr>
          <w:rFonts w:ascii="Times New Roman" w:cs="Times New Roman" w:eastAsia="Times New Roman" w:hAnsi="Times New Roman"/>
          <w:sz w:val="22"/>
          <w:szCs w:val="22"/>
          <w:color w:val="auto"/>
        </w:rPr>
        <w:t>form and manner as determined by the Board. Unless otherwise determined by the Board, a Participant will have voting and other rights as a stockholder of the Company with respect to any shares subject to a Restricted Stock Award.</w:t>
      </w:r>
    </w:p>
    <w:p>
      <w:pPr>
        <w:spacing w:after="0" w:line="173" w:lineRule="exact"/>
        <w:rPr>
          <w:sz w:val="20"/>
          <w:szCs w:val="20"/>
          <w:color w:val="auto"/>
        </w:rPr>
      </w:pPr>
    </w:p>
    <w:p>
      <w:pPr>
        <w:jc w:val="both"/>
        <w:ind w:left="1300" w:right="299" w:firstLine="1936"/>
        <w:spacing w:after="0" w:line="234" w:lineRule="auto"/>
        <w:tabs>
          <w:tab w:leader="none" w:pos="3676" w:val="left"/>
        </w:tabs>
        <w:numPr>
          <w:ilvl w:val="2"/>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75" w:lineRule="exact"/>
        <w:rPr>
          <w:rFonts w:ascii="Times New Roman" w:cs="Times New Roman" w:eastAsia="Times New Roman" w:hAnsi="Times New Roman"/>
          <w:sz w:val="22"/>
          <w:szCs w:val="22"/>
          <w:b w:val="1"/>
          <w:bCs w:val="1"/>
          <w:color w:val="auto"/>
        </w:rPr>
      </w:pPr>
    </w:p>
    <w:p>
      <w:pPr>
        <w:ind w:left="3100" w:hanging="431"/>
        <w:spacing w:after="0"/>
        <w:tabs>
          <w:tab w:leader="none" w:pos="3100"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p>
    <w:p>
      <w:pPr>
        <w:spacing w:after="0" w:line="210" w:lineRule="exact"/>
        <w:rPr>
          <w:rFonts w:ascii="Times New Roman" w:cs="Times New Roman" w:eastAsia="Times New Roman" w:hAnsi="Times New Roman"/>
          <w:sz w:val="22"/>
          <w:szCs w:val="22"/>
          <w:b w:val="1"/>
          <w:bCs w:val="1"/>
          <w:color w:val="auto"/>
        </w:rPr>
      </w:pPr>
    </w:p>
    <w:p>
      <w:pPr>
        <w:ind w:left="3660" w:hanging="424"/>
        <w:spacing w:after="0"/>
        <w:tabs>
          <w:tab w:leader="none" w:pos="3660" w:val="left"/>
        </w:tabs>
        <w:numPr>
          <w:ilvl w:val="2"/>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RSA: A Restricted Stock Award may be granted in consideration for</w:t>
      </w:r>
    </w:p>
    <w:p>
      <w:pPr>
        <w:spacing w:after="0" w:line="14" w:lineRule="exact"/>
        <w:rPr>
          <w:rFonts w:ascii="Times New Roman" w:cs="Times New Roman" w:eastAsia="Times New Roman" w:hAnsi="Times New Roman"/>
          <w:sz w:val="22"/>
          <w:szCs w:val="22"/>
          <w:b w:val="1"/>
          <w:bCs w:val="1"/>
          <w:color w:val="auto"/>
        </w:rPr>
      </w:pPr>
    </w:p>
    <w:p>
      <w:pPr>
        <w:jc w:val="both"/>
        <w:ind w:left="1300" w:right="299" w:hanging="8"/>
        <w:spacing w:after="0" w:line="235" w:lineRule="auto"/>
        <w:tabs>
          <w:tab w:leader="none" w:pos="167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or check, bank draft or money order payable to the Company, (B) past services to the Company or an Affiliate, or (C) any other form of consideration (including future services) as the Board may determine and permissible under Applicable Law.</w:t>
      </w:r>
    </w:p>
    <w:p>
      <w:pPr>
        <w:spacing w:after="0" w:line="177" w:lineRule="exact"/>
        <w:rPr>
          <w:rFonts w:ascii="Times New Roman" w:cs="Times New Roman" w:eastAsia="Times New Roman" w:hAnsi="Times New Roman"/>
          <w:sz w:val="22"/>
          <w:szCs w:val="22"/>
          <w:color w:val="auto"/>
        </w:rPr>
      </w:pPr>
    </w:p>
    <w:p>
      <w:pPr>
        <w:jc w:val="both"/>
        <w:ind w:left="1300" w:right="299" w:firstLine="1936"/>
        <w:spacing w:after="0" w:line="234" w:lineRule="auto"/>
        <w:tabs>
          <w:tab w:leader="none" w:pos="3676" w:val="left"/>
        </w:tabs>
        <w:numPr>
          <w:ilvl w:val="2"/>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79" w:lineRule="exact"/>
        <w:rPr>
          <w:rFonts w:ascii="Times New Roman" w:cs="Times New Roman" w:eastAsia="Times New Roman" w:hAnsi="Times New Roman"/>
          <w:sz w:val="22"/>
          <w:szCs w:val="22"/>
          <w:b w:val="1"/>
          <w:bCs w:val="1"/>
          <w:color w:val="auto"/>
        </w:rPr>
      </w:pPr>
    </w:p>
    <w:p>
      <w:pPr>
        <w:jc w:val="both"/>
        <w:ind w:left="1380" w:right="299" w:firstLine="1289"/>
        <w:spacing w:after="0" w:line="238" w:lineRule="auto"/>
        <w:tabs>
          <w:tab w:leader="none" w:pos="3108"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The Board may impose such restrictions on or conditions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of a Restricted Stock Award or RSU Award as determined by the Board. Except as otherwise provided in the Plan, the Award Agreement or other written agreement between a Participant and the Company or an Affiliate, vesting of Restricted Stock Awards and RSU Awards will cease upon termination of the Participant’s Continuous Service.</w:t>
      </w:r>
    </w:p>
    <w:p>
      <w:pPr>
        <w:spacing w:after="0" w:line="176" w:lineRule="exact"/>
        <w:rPr>
          <w:rFonts w:ascii="Times New Roman" w:cs="Times New Roman" w:eastAsia="Times New Roman" w:hAnsi="Times New Roman"/>
          <w:sz w:val="22"/>
          <w:szCs w:val="22"/>
          <w:b w:val="1"/>
          <w:bCs w:val="1"/>
          <w:color w:val="auto"/>
        </w:rPr>
      </w:pPr>
    </w:p>
    <w:p>
      <w:pPr>
        <w:jc w:val="both"/>
        <w:ind w:left="1380" w:right="299" w:firstLine="1289"/>
        <w:spacing w:after="0" w:line="247" w:lineRule="auto"/>
        <w:tabs>
          <w:tab w:leader="none" w:pos="3108" w:val="left"/>
        </w:tabs>
        <w:numPr>
          <w:ilvl w:val="1"/>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of Continuous Service. </w:t>
      </w:r>
      <w:r>
        <w:rPr>
          <w:rFonts w:ascii="Times New Roman" w:cs="Times New Roman" w:eastAsia="Times New Roman" w:hAnsi="Times New Roman"/>
          <w:sz w:val="21"/>
          <w:szCs w:val="21"/>
          <w:color w:val="auto"/>
        </w:rPr>
        <w:t>Except as otherwise provided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80" w:right="299"/>
        <w:spacing w:after="0" w:line="258" w:lineRule="auto"/>
        <w:rPr>
          <w:sz w:val="20"/>
          <w:szCs w:val="20"/>
          <w:color w:val="auto"/>
        </w:rPr>
      </w:pPr>
      <w:r>
        <w:rPr>
          <w:rFonts w:ascii="Times New Roman" w:cs="Times New Roman" w:eastAsia="Times New Roman" w:hAnsi="Times New Roman"/>
          <w:sz w:val="22"/>
          <w:szCs w:val="22"/>
          <w:color w:val="auto"/>
        </w:rPr>
        <w:t>shares of Common Stock issuable pursuant to the RSU Award, or any consideration in respect of the RSU Award.</w:t>
      </w:r>
    </w:p>
    <w:p>
      <w:pPr>
        <w:spacing w:after="0" w:line="154" w:lineRule="exact"/>
        <w:rPr>
          <w:sz w:val="20"/>
          <w:szCs w:val="20"/>
          <w:color w:val="auto"/>
        </w:rPr>
      </w:pPr>
    </w:p>
    <w:p>
      <w:pPr>
        <w:jc w:val="both"/>
        <w:ind w:left="1380" w:right="299" w:firstLine="1289"/>
        <w:spacing w:after="0" w:line="241" w:lineRule="auto"/>
        <w:tabs>
          <w:tab w:leader="none" w:pos="3108" w:val="left"/>
        </w:tabs>
        <w:numPr>
          <w:ilvl w:val="2"/>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Dividends and Dividend Equivalents. </w:t>
      </w:r>
      <w:r>
        <w:rPr>
          <w:rFonts w:ascii="Times New Roman" w:cs="Times New Roman" w:eastAsia="Times New Roman" w:hAnsi="Times New Roman"/>
          <w:sz w:val="22"/>
          <w:szCs w:val="22"/>
          <w:color w:val="auto"/>
        </w:rPr>
        <w:t>Dividends or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paid or credited, as applicable, with respect to any shares of Common Stock subject to a Restricted Stock Award or RSU Award, as determined by the Board and specified in the Award Agreement).</w:t>
      </w:r>
    </w:p>
    <w:p>
      <w:pPr>
        <w:spacing w:after="0" w:line="171" w:lineRule="exact"/>
        <w:rPr>
          <w:rFonts w:ascii="Times New Roman" w:cs="Times New Roman" w:eastAsia="Times New Roman" w:hAnsi="Times New Roman"/>
          <w:sz w:val="22"/>
          <w:szCs w:val="22"/>
          <w:b w:val="1"/>
          <w:bCs w:val="1"/>
          <w:color w:val="auto"/>
        </w:rPr>
      </w:pPr>
    </w:p>
    <w:p>
      <w:pPr>
        <w:jc w:val="both"/>
        <w:ind w:left="1380" w:right="299" w:firstLine="1289"/>
        <w:spacing w:after="0" w:line="238" w:lineRule="auto"/>
        <w:tabs>
          <w:tab w:leader="none" w:pos="3108" w:val="left"/>
        </w:tabs>
        <w:numPr>
          <w:ilvl w:val="2"/>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RSU Awards</w:t>
      </w:r>
      <w:r>
        <w:rPr>
          <w:rFonts w:ascii="Times New Roman" w:cs="Times New Roman" w:eastAsia="Times New Roman" w:hAnsi="Times New Roman"/>
          <w:sz w:val="22"/>
          <w:szCs w:val="22"/>
          <w:color w:val="auto"/>
        </w:rPr>
        <w:t>. A RSU Award may be settled by the issuance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6" w:lineRule="exact"/>
        <w:rPr>
          <w:rFonts w:ascii="Times New Roman" w:cs="Times New Roman" w:eastAsia="Times New Roman" w:hAnsi="Times New Roman"/>
          <w:sz w:val="22"/>
          <w:szCs w:val="22"/>
          <w:b w:val="1"/>
          <w:bCs w:val="1"/>
          <w:color w:val="auto"/>
        </w:rPr>
      </w:pPr>
    </w:p>
    <w:p>
      <w:pPr>
        <w:jc w:val="both"/>
        <w:ind w:left="1300" w:right="299" w:firstLine="640"/>
        <w:spacing w:after="0" w:line="241" w:lineRule="auto"/>
        <w:tabs>
          <w:tab w:leader="none" w:pos="2380"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 With respect to any Performance Award, the length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Period, the Performance Goals to be achieved during the Performance Period, the other terms and conditions of such Award, and the measure of whether and to what degree such Performance Goals have been attained will be determined by the Board.</w:t>
      </w:r>
    </w:p>
    <w:p>
      <w:pPr>
        <w:spacing w:after="0" w:line="171" w:lineRule="exact"/>
        <w:rPr>
          <w:rFonts w:ascii="Times New Roman" w:cs="Times New Roman" w:eastAsia="Times New Roman" w:hAnsi="Times New Roman"/>
          <w:sz w:val="22"/>
          <w:szCs w:val="22"/>
          <w:b w:val="1"/>
          <w:bCs w:val="1"/>
          <w:color w:val="auto"/>
        </w:rPr>
      </w:pPr>
    </w:p>
    <w:p>
      <w:pPr>
        <w:jc w:val="both"/>
        <w:ind w:left="1300" w:right="299" w:firstLine="640"/>
        <w:spacing w:after="0" w:line="235" w:lineRule="auto"/>
        <w:tabs>
          <w:tab w:leader="none" w:pos="2380"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Awards</w:t>
      </w:r>
      <w:r>
        <w:rPr>
          <w:rFonts w:ascii="Times New Roman" w:cs="Times New Roman" w:eastAsia="Times New Roman" w:hAnsi="Times New Roman"/>
          <w:sz w:val="22"/>
          <w:szCs w:val="22"/>
          <w:color w:val="auto"/>
        </w:rPr>
        <w:t>. Other forms of Awards valued in whole or in part by reference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73" w:lineRule="exact"/>
        <w:rPr>
          <w:rFonts w:ascii="Times New Roman" w:cs="Times New Roman" w:eastAsia="Times New Roman" w:hAnsi="Times New Roman"/>
          <w:sz w:val="22"/>
          <w:szCs w:val="22"/>
          <w:b w:val="1"/>
          <w:bCs w:val="1"/>
          <w:color w:val="auto"/>
        </w:rPr>
      </w:pPr>
    </w:p>
    <w:p>
      <w:pPr>
        <w:ind w:left="1720" w:hanging="428"/>
        <w:spacing w:after="0"/>
        <w:tabs>
          <w:tab w:leader="none" w:pos="172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1300" w:right="299" w:firstLine="640"/>
        <w:spacing w:after="0" w:line="245" w:lineRule="auto"/>
        <w:tabs>
          <w:tab w:leader="none" w:pos="2380" w:val="left"/>
        </w:tabs>
        <w:numPr>
          <w:ilvl w:val="1"/>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Capitalization Adjustments </w:t>
      </w:r>
      <w:r>
        <w:rPr>
          <w:rFonts w:ascii="Times New Roman" w:cs="Times New Roman" w:eastAsia="Times New Roman" w:hAnsi="Times New Roman"/>
          <w:sz w:val="21"/>
          <w:szCs w:val="21"/>
          <w:color w:val="auto"/>
        </w:rPr>
        <w:t>. In the event of a Capitalization Adjustment,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3" w:lineRule="exact"/>
        <w:rPr>
          <w:rFonts w:ascii="Times New Roman" w:cs="Times New Roman" w:eastAsia="Times New Roman" w:hAnsi="Times New Roman"/>
          <w:sz w:val="21"/>
          <w:szCs w:val="21"/>
          <w:b w:val="1"/>
          <w:bCs w:val="1"/>
          <w:color w:val="auto"/>
        </w:rPr>
      </w:pPr>
    </w:p>
    <w:p>
      <w:pPr>
        <w:jc w:val="both"/>
        <w:ind w:left="1300" w:right="299" w:firstLine="640"/>
        <w:spacing w:after="0" w:line="241" w:lineRule="auto"/>
        <w:tabs>
          <w:tab w:leader="none" w:pos="2380"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Dissolution or Liquidation </w:t>
      </w:r>
      <w:r>
        <w:rPr>
          <w:rFonts w:ascii="Times New Roman" w:cs="Times New Roman" w:eastAsia="Times New Roman" w:hAnsi="Times New Roman"/>
          <w:sz w:val="22"/>
          <w:szCs w:val="22"/>
          <w:color w:val="auto"/>
        </w:rPr>
        <w:t>. Except as otherwise provided in the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the event of a dissolution or liquidation of the Company, all outstanding Awards (other than Awards consisting of vested and outstanding shares of Common Stock not subject to a</w:t>
      </w:r>
    </w:p>
    <w:p>
      <w:pPr>
        <w:spacing w:after="0" w:line="36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00" w:right="299"/>
        <w:spacing w:after="0" w:line="235" w:lineRule="auto"/>
        <w:rPr>
          <w:sz w:val="20"/>
          <w:szCs w:val="20"/>
          <w:color w:val="auto"/>
        </w:rPr>
      </w:pPr>
      <w:r>
        <w:rPr>
          <w:rFonts w:ascii="Times New Roman" w:cs="Times New Roman" w:eastAsia="Times New Roman" w:hAnsi="Times New Roman"/>
          <w:sz w:val="22"/>
          <w:szCs w:val="22"/>
          <w:color w:val="auto"/>
        </w:rPr>
        <w:t>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4" w:lineRule="exact"/>
        <w:rPr>
          <w:sz w:val="20"/>
          <w:szCs w:val="20"/>
          <w:color w:val="auto"/>
        </w:rPr>
      </w:pPr>
    </w:p>
    <w:p>
      <w:pPr>
        <w:jc w:val="both"/>
        <w:ind w:left="1300" w:right="299" w:firstLine="640"/>
        <w:spacing w:after="0" w:line="256" w:lineRule="auto"/>
        <w:tabs>
          <w:tab w:leader="none" w:pos="2380"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Corporate Transaction. </w:t>
      </w:r>
      <w:r>
        <w:rPr>
          <w:rFonts w:ascii="Times New Roman" w:cs="Times New Roman" w:eastAsia="Times New Roman" w:hAnsi="Times New Roman"/>
          <w:sz w:val="21"/>
          <w:szCs w:val="21"/>
          <w:color w:val="auto"/>
        </w:rPr>
        <w:t>The following provisions will apply to Awards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event of a Corporate Transaction unless otherwise provided in the instrument evidencing the Award or any other written agreement between the Company or any Affiliate and the Participant or unless otherwise expressly provided by the Board at the time of grant of an Award.</w:t>
      </w:r>
    </w:p>
    <w:p>
      <w:pPr>
        <w:spacing w:after="0" w:line="157" w:lineRule="exact"/>
        <w:rPr>
          <w:rFonts w:ascii="Times New Roman" w:cs="Times New Roman" w:eastAsia="Times New Roman" w:hAnsi="Times New Roman"/>
          <w:sz w:val="21"/>
          <w:szCs w:val="21"/>
          <w:b w:val="1"/>
          <w:bCs w:val="1"/>
          <w:color w:val="auto"/>
        </w:rPr>
      </w:pPr>
    </w:p>
    <w:p>
      <w:pPr>
        <w:jc w:val="both"/>
        <w:ind w:left="1380" w:right="299" w:firstLine="1289"/>
        <w:spacing w:after="0" w:line="245" w:lineRule="auto"/>
        <w:tabs>
          <w:tab w:leader="none" w:pos="3108" w:val="left"/>
        </w:tabs>
        <w:numPr>
          <w:ilvl w:val="1"/>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Awards May Be Assumed. </w:t>
      </w:r>
      <w:r>
        <w:rPr>
          <w:rFonts w:ascii="Times New Roman" w:cs="Times New Roman" w:eastAsia="Times New Roman" w:hAnsi="Times New Roman"/>
          <w:sz w:val="21"/>
          <w:szCs w:val="21"/>
          <w:color w:val="auto"/>
        </w:rPr>
        <w:t>In the event of a Corporate Transaction,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73" w:lineRule="exact"/>
        <w:rPr>
          <w:rFonts w:ascii="Times New Roman" w:cs="Times New Roman" w:eastAsia="Times New Roman" w:hAnsi="Times New Roman"/>
          <w:sz w:val="21"/>
          <w:szCs w:val="21"/>
          <w:b w:val="1"/>
          <w:bCs w:val="1"/>
          <w:color w:val="auto"/>
        </w:rPr>
      </w:pPr>
    </w:p>
    <w:p>
      <w:pPr>
        <w:jc w:val="both"/>
        <w:ind w:left="1380" w:right="299" w:firstLine="1289"/>
        <w:spacing w:after="0" w:line="232" w:lineRule="auto"/>
        <w:tabs>
          <w:tab w:leader="none" w:pos="3108"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Awards Held by Current Participants. </w:t>
      </w:r>
      <w:r>
        <w:rPr>
          <w:rFonts w:ascii="Times New Roman" w:cs="Times New Roman" w:eastAsia="Times New Roman" w:hAnsi="Times New Roman"/>
          <w:sz w:val="22"/>
          <w:szCs w:val="22"/>
          <w:color w:val="auto"/>
        </w:rPr>
        <w:t>In the event of a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22"/>
          <w:szCs w:val="22"/>
          <w:b w:val="1"/>
          <w:bCs w:val="1"/>
          <w:i w:val="1"/>
          <w:iCs w:val="1"/>
          <w:color w:val="auto"/>
        </w:rPr>
        <w:t>Current Participants</w:t>
      </w:r>
      <w:r>
        <w:rPr>
          <w:rFonts w:ascii="Times New Roman" w:cs="Times New Roman" w:eastAsia="Times New Roman" w:hAnsi="Times New Roman"/>
          <w:sz w:val="22"/>
          <w:szCs w:val="22"/>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w:t>
      </w:r>
    </w:p>
    <w:p>
      <w:pPr>
        <w:spacing w:after="0" w:line="3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80" w:right="319"/>
        <w:spacing w:after="0" w:line="258" w:lineRule="auto"/>
        <w:rPr>
          <w:sz w:val="20"/>
          <w:szCs w:val="20"/>
          <w:color w:val="auto"/>
        </w:rPr>
      </w:pPr>
      <w:r>
        <w:rPr>
          <w:rFonts w:ascii="Times New Roman" w:cs="Times New Roman" w:eastAsia="Times New Roman" w:hAnsi="Times New Roman"/>
          <w:sz w:val="22"/>
          <w:szCs w:val="22"/>
          <w:color w:val="auto"/>
        </w:rPr>
        <w:t>subsection (ii) and are settled in the form of a cash payment, such cash payment will be made no later than 30 days following the occurrence of the Corporate Transaction.</w:t>
      </w:r>
    </w:p>
    <w:p>
      <w:pPr>
        <w:spacing w:after="0" w:line="154" w:lineRule="exact"/>
        <w:rPr>
          <w:sz w:val="20"/>
          <w:szCs w:val="20"/>
          <w:color w:val="auto"/>
        </w:rPr>
      </w:pPr>
    </w:p>
    <w:p>
      <w:pPr>
        <w:jc w:val="both"/>
        <w:ind w:left="1380" w:right="299" w:firstLine="1289"/>
        <w:spacing w:after="0" w:line="235" w:lineRule="auto"/>
        <w:tabs>
          <w:tab w:leader="none" w:pos="3108" w:val="left"/>
        </w:tabs>
        <w:numPr>
          <w:ilvl w:val="2"/>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Awards Held by Persons other than Current Participants. </w:t>
      </w:r>
      <w:r>
        <w:rPr>
          <w:rFonts w:ascii="Times New Roman" w:cs="Times New Roman" w:eastAsia="Times New Roman" w:hAnsi="Times New Roman"/>
          <w:sz w:val="22"/>
          <w:szCs w:val="22"/>
          <w:color w:val="auto"/>
        </w:rPr>
        <w:t>In the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73" w:lineRule="exact"/>
        <w:rPr>
          <w:rFonts w:ascii="Times New Roman" w:cs="Times New Roman" w:eastAsia="Times New Roman" w:hAnsi="Times New Roman"/>
          <w:sz w:val="22"/>
          <w:szCs w:val="22"/>
          <w:b w:val="1"/>
          <w:bCs w:val="1"/>
          <w:color w:val="auto"/>
        </w:rPr>
      </w:pPr>
    </w:p>
    <w:p>
      <w:pPr>
        <w:jc w:val="both"/>
        <w:ind w:left="1380" w:right="299" w:firstLine="1289"/>
        <w:spacing w:after="0" w:line="235" w:lineRule="auto"/>
        <w:tabs>
          <w:tab w:leader="none" w:pos="3108" w:val="left"/>
        </w:tabs>
        <w:numPr>
          <w:ilvl w:val="2"/>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for Awards in Lieu of Exercise. </w:t>
      </w:r>
      <w:r>
        <w:rPr>
          <w:rFonts w:ascii="Times New Roman" w:cs="Times New Roman" w:eastAsia="Times New Roman" w:hAnsi="Times New Roman"/>
          <w:sz w:val="22"/>
          <w:szCs w:val="22"/>
          <w:color w:val="auto"/>
        </w:rPr>
        <w:t>Notwithstanding the foregoing,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8" w:lineRule="exact"/>
        <w:rPr>
          <w:rFonts w:ascii="Times New Roman" w:cs="Times New Roman" w:eastAsia="Times New Roman" w:hAnsi="Times New Roman"/>
          <w:sz w:val="22"/>
          <w:szCs w:val="22"/>
          <w:b w:val="1"/>
          <w:bCs w:val="1"/>
          <w:color w:val="auto"/>
        </w:rPr>
      </w:pPr>
    </w:p>
    <w:p>
      <w:pPr>
        <w:jc w:val="both"/>
        <w:ind w:left="1300" w:right="299" w:firstLine="640"/>
        <w:spacing w:after="0" w:line="237" w:lineRule="auto"/>
        <w:tabs>
          <w:tab w:leader="none" w:pos="2380" w:val="left"/>
        </w:tabs>
        <w:numPr>
          <w:ilvl w:val="1"/>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Appointment of Stockholder Representative. </w:t>
      </w:r>
      <w:r>
        <w:rPr>
          <w:rFonts w:ascii="Times New Roman" w:cs="Times New Roman" w:eastAsia="Times New Roman" w:hAnsi="Times New Roman"/>
          <w:sz w:val="22"/>
          <w:szCs w:val="22"/>
          <w:color w:val="auto"/>
        </w:rPr>
        <w:t>As a condition to the receipt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5" w:lineRule="exact"/>
        <w:rPr>
          <w:rFonts w:ascii="Times New Roman" w:cs="Times New Roman" w:eastAsia="Times New Roman" w:hAnsi="Times New Roman"/>
          <w:sz w:val="22"/>
          <w:szCs w:val="22"/>
          <w:b w:val="1"/>
          <w:bCs w:val="1"/>
          <w:color w:val="auto"/>
        </w:rPr>
      </w:pPr>
    </w:p>
    <w:p>
      <w:pPr>
        <w:jc w:val="both"/>
        <w:ind w:left="1300" w:right="299" w:firstLine="640"/>
        <w:spacing w:after="0" w:line="234" w:lineRule="auto"/>
        <w:tabs>
          <w:tab w:leader="none" w:pos="2380" w:val="left"/>
        </w:tabs>
        <w:numPr>
          <w:ilvl w:val="1"/>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Restriction on Right to Undertake Transactions </w:t>
      </w:r>
      <w:r>
        <w:rPr>
          <w:rFonts w:ascii="Times New Roman" w:cs="Times New Roman" w:eastAsia="Times New Roman" w:hAnsi="Times New Roman"/>
          <w:sz w:val="22"/>
          <w:szCs w:val="22"/>
          <w:color w:val="auto"/>
        </w:rPr>
        <w:t>. The grant of any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9" w:lineRule="exact"/>
        <w:rPr>
          <w:rFonts w:ascii="Times New Roman" w:cs="Times New Roman" w:eastAsia="Times New Roman" w:hAnsi="Times New Roman"/>
          <w:sz w:val="22"/>
          <w:szCs w:val="22"/>
          <w:b w:val="1"/>
          <w:bCs w:val="1"/>
          <w:color w:val="auto"/>
        </w:rPr>
      </w:pPr>
    </w:p>
    <w:p>
      <w:pPr>
        <w:ind w:left="1720" w:hanging="428"/>
        <w:spacing w:after="0"/>
        <w:tabs>
          <w:tab w:leader="none" w:pos="172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1300" w:right="299" w:firstLine="640"/>
        <w:spacing w:after="0" w:line="246" w:lineRule="auto"/>
        <w:tabs>
          <w:tab w:leader="none" w:pos="2380"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Administration by Board. </w:t>
      </w:r>
      <w:r>
        <w:rPr>
          <w:rFonts w:ascii="Times New Roman" w:cs="Times New Roman" w:eastAsia="Times New Roman" w:hAnsi="Times New Roman"/>
          <w:sz w:val="22"/>
          <w:szCs w:val="22"/>
          <w:color w:val="auto"/>
        </w:rPr>
        <w:t>The Board will administer the Plan unless and until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delegates administration of the Plan to a Committee or Committees, as provided in subsection (c)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00" w:right="299" w:firstLine="640"/>
        <w:spacing w:after="0" w:line="262" w:lineRule="auto"/>
        <w:tabs>
          <w:tab w:leader="none" w:pos="2380" w:val="left"/>
        </w:tabs>
        <w:numPr>
          <w:ilvl w:val="1"/>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Powers of Board. </w:t>
      </w:r>
      <w:r>
        <w:rPr>
          <w:rFonts w:ascii="Times New Roman" w:cs="Times New Roman" w:eastAsia="Times New Roman" w:hAnsi="Times New Roman"/>
          <w:sz w:val="22"/>
          <w:szCs w:val="22"/>
          <w:color w:val="auto"/>
        </w:rPr>
        <w:t>The Board will have the power, subject to, and within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limitations of, the express provisions of the Plan:</w:t>
      </w:r>
    </w:p>
    <w:p>
      <w:pPr>
        <w:spacing w:after="0" w:line="153" w:lineRule="exact"/>
        <w:rPr>
          <w:rFonts w:ascii="Times New Roman" w:cs="Times New Roman" w:eastAsia="Times New Roman" w:hAnsi="Times New Roman"/>
          <w:sz w:val="22"/>
          <w:szCs w:val="22"/>
          <w:b w:val="1"/>
          <w:bCs w:val="1"/>
          <w:color w:val="auto"/>
        </w:rPr>
      </w:pPr>
    </w:p>
    <w:p>
      <w:pPr>
        <w:jc w:val="both"/>
        <w:ind w:left="1380" w:right="299" w:firstLine="1289"/>
        <w:spacing w:after="0" w:line="234" w:lineRule="auto"/>
        <w:tabs>
          <w:tab w:leader="none" w:pos="3108" w:val="left"/>
        </w:tabs>
        <w:numPr>
          <w:ilvl w:val="2"/>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79" w:lineRule="exact"/>
        <w:rPr>
          <w:rFonts w:ascii="Times New Roman" w:cs="Times New Roman" w:eastAsia="Times New Roman" w:hAnsi="Times New Roman"/>
          <w:sz w:val="22"/>
          <w:szCs w:val="22"/>
          <w:b w:val="1"/>
          <w:bCs w:val="1"/>
          <w:color w:val="auto"/>
        </w:rPr>
      </w:pPr>
    </w:p>
    <w:p>
      <w:pPr>
        <w:jc w:val="both"/>
        <w:ind w:left="1380" w:right="299" w:firstLine="1289"/>
        <w:spacing w:after="0" w:line="238" w:lineRule="auto"/>
        <w:tabs>
          <w:tab w:leader="none" w:pos="3148" w:val="left"/>
        </w:tabs>
        <w:numPr>
          <w:ilvl w:val="2"/>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6" w:lineRule="exact"/>
        <w:rPr>
          <w:rFonts w:ascii="Times New Roman" w:cs="Times New Roman" w:eastAsia="Times New Roman" w:hAnsi="Times New Roman"/>
          <w:sz w:val="22"/>
          <w:szCs w:val="22"/>
          <w:b w:val="1"/>
          <w:bCs w:val="1"/>
          <w:color w:val="auto"/>
        </w:rPr>
      </w:pPr>
    </w:p>
    <w:p>
      <w:pPr>
        <w:ind w:left="3100" w:hanging="431"/>
        <w:spacing w:after="0"/>
        <w:tabs>
          <w:tab w:leader="none" w:pos="3100" w:val="left"/>
        </w:tabs>
        <w:numPr>
          <w:ilvl w:val="2"/>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settle all controversies regarding the Plan and Awards granted under it.</w:t>
      </w:r>
    </w:p>
    <w:p>
      <w:pPr>
        <w:spacing w:after="0" w:line="206" w:lineRule="exact"/>
        <w:rPr>
          <w:rFonts w:ascii="Times New Roman" w:cs="Times New Roman" w:eastAsia="Times New Roman" w:hAnsi="Times New Roman"/>
          <w:sz w:val="22"/>
          <w:szCs w:val="22"/>
          <w:b w:val="1"/>
          <w:bCs w:val="1"/>
          <w:color w:val="auto"/>
        </w:rPr>
      </w:pPr>
    </w:p>
    <w:p>
      <w:pPr>
        <w:jc w:val="both"/>
        <w:ind w:left="1380" w:right="299" w:firstLine="1289"/>
        <w:spacing w:after="0" w:line="239" w:lineRule="auto"/>
        <w:tabs>
          <w:tab w:leader="none" w:pos="3108" w:val="left"/>
        </w:tabs>
        <w:numPr>
          <w:ilvl w:val="2"/>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80" w:lineRule="exact"/>
        <w:rPr>
          <w:rFonts w:ascii="Times New Roman" w:cs="Times New Roman" w:eastAsia="Times New Roman" w:hAnsi="Times New Roman"/>
          <w:sz w:val="22"/>
          <w:szCs w:val="22"/>
          <w:b w:val="1"/>
          <w:bCs w:val="1"/>
          <w:color w:val="auto"/>
        </w:rPr>
      </w:pPr>
    </w:p>
    <w:p>
      <w:pPr>
        <w:jc w:val="both"/>
        <w:ind w:left="1380" w:right="299" w:firstLine="1289"/>
        <w:spacing w:after="0" w:line="236" w:lineRule="auto"/>
        <w:tabs>
          <w:tab w:leader="none" w:pos="3135" w:val="left"/>
        </w:tabs>
        <w:numPr>
          <w:ilvl w:val="2"/>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1" w:lineRule="exact"/>
        <w:rPr>
          <w:rFonts w:ascii="Times New Roman" w:cs="Times New Roman" w:eastAsia="Times New Roman" w:hAnsi="Times New Roman"/>
          <w:sz w:val="22"/>
          <w:szCs w:val="22"/>
          <w:b w:val="1"/>
          <w:bCs w:val="1"/>
          <w:color w:val="auto"/>
        </w:rPr>
      </w:pPr>
    </w:p>
    <w:p>
      <w:pPr>
        <w:jc w:val="both"/>
        <w:ind w:left="1380" w:right="319" w:firstLine="1289"/>
        <w:spacing w:after="0" w:line="244" w:lineRule="auto"/>
        <w:tabs>
          <w:tab w:leader="none" w:pos="3108" w:val="left"/>
        </w:tabs>
        <w:numPr>
          <w:ilvl w:val="2"/>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73" w:lineRule="exact"/>
        <w:rPr>
          <w:rFonts w:ascii="Times New Roman" w:cs="Times New Roman" w:eastAsia="Times New Roman" w:hAnsi="Times New Roman"/>
          <w:sz w:val="22"/>
          <w:szCs w:val="22"/>
          <w:b w:val="1"/>
          <w:bCs w:val="1"/>
          <w:color w:val="auto"/>
        </w:rPr>
      </w:pPr>
    </w:p>
    <w:p>
      <w:pPr>
        <w:jc w:val="both"/>
        <w:ind w:left="1380" w:right="299" w:firstLine="1289"/>
        <w:spacing w:after="0" w:line="247" w:lineRule="auto"/>
        <w:tabs>
          <w:tab w:leader="none" w:pos="3108" w:val="left"/>
        </w:tabs>
        <w:numPr>
          <w:ilvl w:val="2"/>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amend the Plan in any respect the Board deems necessary or advisable; provided, however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w:t>
      </w:r>
    </w:p>
    <w:p>
      <w:pPr>
        <w:spacing w:after="0" w:line="1" w:lineRule="exact"/>
        <w:rPr>
          <w:rFonts w:ascii="Times New Roman" w:cs="Times New Roman" w:eastAsia="Times New Roman" w:hAnsi="Times New Roman"/>
          <w:sz w:val="21"/>
          <w:szCs w:val="21"/>
          <w:b w:val="1"/>
          <w:bCs w:val="1"/>
          <w:color w:val="auto"/>
        </w:rPr>
      </w:pPr>
    </w:p>
    <w:p>
      <w:pPr>
        <w:ind w:left="1380" w:right="319" w:hanging="7"/>
        <w:spacing w:after="0" w:line="237" w:lineRule="auto"/>
        <w:tabs>
          <w:tab w:leader="none" w:pos="173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requests the consent of the affected Participant, and (2) such Participant consents in writing.</w:t>
      </w:r>
    </w:p>
    <w:p>
      <w:pPr>
        <w:spacing w:after="0" w:line="178" w:lineRule="exact"/>
        <w:rPr>
          <w:rFonts w:ascii="Times New Roman" w:cs="Times New Roman" w:eastAsia="Times New Roman" w:hAnsi="Times New Roman"/>
          <w:sz w:val="22"/>
          <w:szCs w:val="22"/>
          <w:color w:val="auto"/>
        </w:rPr>
      </w:pPr>
    </w:p>
    <w:p>
      <w:pPr>
        <w:ind w:left="3540" w:hanging="871"/>
        <w:spacing w:after="0"/>
        <w:tabs>
          <w:tab w:leader="none" w:pos="3540" w:val="left"/>
        </w:tabs>
        <w:numPr>
          <w:ilvl w:val="2"/>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submit any amendment to the Plan for stockholder approval.</w:t>
      </w:r>
    </w:p>
    <w:p>
      <w:pPr>
        <w:spacing w:after="0" w:line="206" w:lineRule="exact"/>
        <w:rPr>
          <w:rFonts w:ascii="Times New Roman" w:cs="Times New Roman" w:eastAsia="Times New Roman" w:hAnsi="Times New Roman"/>
          <w:sz w:val="22"/>
          <w:szCs w:val="22"/>
          <w:b w:val="1"/>
          <w:bCs w:val="1"/>
          <w:color w:val="auto"/>
        </w:rPr>
      </w:pPr>
    </w:p>
    <w:p>
      <w:pPr>
        <w:jc w:val="both"/>
        <w:ind w:left="1380" w:right="299" w:firstLine="1289"/>
        <w:spacing w:after="0" w:line="244" w:lineRule="auto"/>
        <w:tabs>
          <w:tab w:leader="none" w:pos="3148" w:val="left"/>
        </w:tabs>
        <w:numPr>
          <w:ilvl w:val="2"/>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approve forms of Award Agreements for use under the Plan and to amend the terms of any one or more Awards, including, but not limited to, amendments to provide</w:t>
      </w:r>
    </w:p>
    <w:p>
      <w:pPr>
        <w:spacing w:after="0" w:line="3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80" w:right="299"/>
        <w:spacing w:after="0" w:line="236" w:lineRule="auto"/>
        <w:rPr>
          <w:sz w:val="20"/>
          <w:szCs w:val="20"/>
          <w:color w:val="auto"/>
        </w:rPr>
      </w:pPr>
      <w:r>
        <w:rPr>
          <w:rFonts w:ascii="Times New Roman" w:cs="Times New Roman" w:eastAsia="Times New Roman" w:hAnsi="Times New Roman"/>
          <w:sz w:val="22"/>
          <w:szCs w:val="22"/>
          <w:color w:val="auto"/>
        </w:rPr>
        <w:t xml:space="preserve">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Participant’s rights under any Award will not be Materially Impaired by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amendment unless (1) the Company requests the consent of the affected Participant, and</w:t>
      </w:r>
    </w:p>
    <w:p>
      <w:pPr>
        <w:spacing w:after="0" w:line="1" w:lineRule="exact"/>
        <w:rPr>
          <w:sz w:val="20"/>
          <w:szCs w:val="20"/>
          <w:color w:val="auto"/>
        </w:rPr>
      </w:pPr>
    </w:p>
    <w:p>
      <w:pPr>
        <w:ind w:left="1680" w:hanging="307"/>
        <w:spacing w:after="0"/>
        <w:tabs>
          <w:tab w:leader="none" w:pos="16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Participant consents in writing.</w:t>
      </w:r>
    </w:p>
    <w:p>
      <w:pPr>
        <w:spacing w:after="0" w:line="182" w:lineRule="exact"/>
        <w:rPr>
          <w:rFonts w:ascii="Times New Roman" w:cs="Times New Roman" w:eastAsia="Times New Roman" w:hAnsi="Times New Roman"/>
          <w:sz w:val="22"/>
          <w:szCs w:val="22"/>
          <w:color w:val="auto"/>
        </w:rPr>
      </w:pPr>
    </w:p>
    <w:p>
      <w:pPr>
        <w:jc w:val="both"/>
        <w:ind w:left="1380" w:right="299" w:firstLine="1289"/>
        <w:spacing w:after="0" w:line="244" w:lineRule="auto"/>
        <w:tabs>
          <w:tab w:leader="none" w:pos="3121" w:val="left"/>
        </w:tabs>
        <w:numPr>
          <w:ilvl w:val="2"/>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3" w:lineRule="exact"/>
        <w:rPr>
          <w:rFonts w:ascii="Times New Roman" w:cs="Times New Roman" w:eastAsia="Times New Roman" w:hAnsi="Times New Roman"/>
          <w:sz w:val="22"/>
          <w:szCs w:val="22"/>
          <w:b w:val="1"/>
          <w:bCs w:val="1"/>
          <w:color w:val="auto"/>
        </w:rPr>
      </w:pPr>
    </w:p>
    <w:p>
      <w:pPr>
        <w:jc w:val="both"/>
        <w:ind w:left="1380" w:right="299" w:firstLine="1289"/>
        <w:spacing w:after="0" w:line="236" w:lineRule="auto"/>
        <w:tabs>
          <w:tab w:leader="none" w:pos="3121" w:val="left"/>
        </w:tabs>
        <w:numPr>
          <w:ilvl w:val="2"/>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81" w:lineRule="exact"/>
        <w:rPr>
          <w:rFonts w:ascii="Times New Roman" w:cs="Times New Roman" w:eastAsia="Times New Roman" w:hAnsi="Times New Roman"/>
          <w:sz w:val="22"/>
          <w:szCs w:val="22"/>
          <w:b w:val="1"/>
          <w:bCs w:val="1"/>
          <w:color w:val="auto"/>
        </w:rPr>
      </w:pPr>
    </w:p>
    <w:p>
      <w:pPr>
        <w:jc w:val="both"/>
        <w:ind w:left="1380" w:right="299" w:firstLine="1289"/>
        <w:spacing w:after="0" w:line="245" w:lineRule="auto"/>
        <w:tabs>
          <w:tab w:leader="none" w:pos="3121" w:val="left"/>
        </w:tabs>
        <w:numPr>
          <w:ilvl w:val="2"/>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w:t>
      </w:r>
    </w:p>
    <w:p>
      <w:pPr>
        <w:spacing w:after="0" w:line="2" w:lineRule="exact"/>
        <w:rPr>
          <w:rFonts w:ascii="Times New Roman" w:cs="Times New Roman" w:eastAsia="Times New Roman" w:hAnsi="Times New Roman"/>
          <w:sz w:val="21"/>
          <w:szCs w:val="21"/>
          <w:b w:val="1"/>
          <w:bCs w:val="1"/>
          <w:color w:val="auto"/>
        </w:rPr>
      </w:pPr>
    </w:p>
    <w:p>
      <w:pPr>
        <w:ind w:left="1380" w:right="319"/>
        <w:spacing w:after="0" w:line="23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(C) other valuable consideration (as determined by the Board); or (3) any other action that is treated as a repricing under generally accepted accounting principles.</w:t>
      </w:r>
    </w:p>
    <w:p>
      <w:pPr>
        <w:spacing w:after="0" w:line="174" w:lineRule="exact"/>
        <w:rPr>
          <w:rFonts w:ascii="Times New Roman" w:cs="Times New Roman" w:eastAsia="Times New Roman" w:hAnsi="Times New Roman"/>
          <w:sz w:val="21"/>
          <w:szCs w:val="21"/>
          <w:b w:val="1"/>
          <w:bCs w:val="1"/>
          <w:color w:val="auto"/>
        </w:rPr>
      </w:pPr>
    </w:p>
    <w:p>
      <w:pPr>
        <w:ind w:left="2380" w:hanging="440"/>
        <w:spacing w:after="0"/>
        <w:tabs>
          <w:tab w:leader="none" w:pos="2380"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Delegation to Committee.</w:t>
      </w:r>
    </w:p>
    <w:p>
      <w:pPr>
        <w:spacing w:after="0" w:line="206" w:lineRule="exact"/>
        <w:rPr>
          <w:rFonts w:ascii="Times New Roman" w:cs="Times New Roman" w:eastAsia="Times New Roman" w:hAnsi="Times New Roman"/>
          <w:sz w:val="22"/>
          <w:szCs w:val="22"/>
          <w:b w:val="1"/>
          <w:bCs w:val="1"/>
          <w:color w:val="auto"/>
        </w:rPr>
      </w:pPr>
    </w:p>
    <w:p>
      <w:pPr>
        <w:jc w:val="both"/>
        <w:ind w:left="1380" w:right="299" w:firstLine="1289"/>
        <w:spacing w:after="0" w:line="233" w:lineRule="auto"/>
        <w:tabs>
          <w:tab w:leader="none" w:pos="3108" w:val="left"/>
        </w:tabs>
        <w:numPr>
          <w:ilvl w:val="2"/>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The Board may delegate some or all of the administration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2" w:lineRule="exact"/>
        <w:rPr>
          <w:rFonts w:ascii="Times New Roman" w:cs="Times New Roman" w:eastAsia="Times New Roman" w:hAnsi="Times New Roman"/>
          <w:sz w:val="22"/>
          <w:szCs w:val="22"/>
          <w:b w:val="1"/>
          <w:bCs w:val="1"/>
          <w:color w:val="auto"/>
        </w:rPr>
      </w:pPr>
    </w:p>
    <w:p>
      <w:pPr>
        <w:jc w:val="both"/>
        <w:ind w:left="1380" w:right="299" w:firstLine="1289"/>
        <w:spacing w:after="0" w:line="237" w:lineRule="auto"/>
        <w:tabs>
          <w:tab w:leader="none" w:pos="3108" w:val="left"/>
        </w:tabs>
        <w:numPr>
          <w:ilvl w:val="2"/>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Rule 16b-3 Compliance. </w:t>
      </w:r>
      <w:r>
        <w:rPr>
          <w:rFonts w:ascii="Times New Roman" w:cs="Times New Roman" w:eastAsia="Times New Roman" w:hAnsi="Times New Roman"/>
          <w:sz w:val="22"/>
          <w:szCs w:val="22"/>
          <w:color w:val="auto"/>
        </w:rPr>
        <w:t>To the extent an Award is intended to qualify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w:t>
      </w:r>
    </w:p>
    <w:p>
      <w:pPr>
        <w:spacing w:after="0" w:line="36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18" w:name="page19"/>
    <w:bookmarkEnd w:id="18"/>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80" w:right="299"/>
        <w:spacing w:after="0" w:line="258" w:lineRule="auto"/>
        <w:rPr>
          <w:sz w:val="20"/>
          <w:szCs w:val="20"/>
          <w:color w:val="auto"/>
        </w:rPr>
      </w:pPr>
      <w:r>
        <w:rPr>
          <w:rFonts w:ascii="Times New Roman" w:cs="Times New Roman" w:eastAsia="Times New Roman" w:hAnsi="Times New Roman"/>
          <w:sz w:val="22"/>
          <w:szCs w:val="22"/>
          <w:color w:val="auto"/>
        </w:rPr>
        <w:t>the Board or a Committee meeting such requirements to the extent necessary for such exemption to remain available.</w:t>
      </w:r>
    </w:p>
    <w:p>
      <w:pPr>
        <w:spacing w:after="0" w:line="154" w:lineRule="exact"/>
        <w:rPr>
          <w:sz w:val="20"/>
          <w:szCs w:val="20"/>
          <w:color w:val="auto"/>
        </w:rPr>
      </w:pPr>
    </w:p>
    <w:p>
      <w:pPr>
        <w:jc w:val="both"/>
        <w:ind w:left="1300" w:right="299" w:firstLine="640"/>
        <w:spacing w:after="0" w:line="246" w:lineRule="auto"/>
        <w:tabs>
          <w:tab w:leader="none" w:pos="2380"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of Board’s Decision. </w:t>
      </w:r>
      <w:r>
        <w:rPr>
          <w:rFonts w:ascii="Times New Roman" w:cs="Times New Roman" w:eastAsia="Times New Roman" w:hAnsi="Times New Roman"/>
          <w:sz w:val="22"/>
          <w:szCs w:val="22"/>
          <w:color w:val="auto"/>
        </w:rPr>
        <w:t>All determinations, interpretations and constructions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by the Board or any Committee in good faith will not be subject to review by any person and will be final, binding and conclusive on all persons.</w:t>
      </w:r>
    </w:p>
    <w:p>
      <w:pPr>
        <w:spacing w:after="0" w:line="167" w:lineRule="exact"/>
        <w:rPr>
          <w:rFonts w:ascii="Times New Roman" w:cs="Times New Roman" w:eastAsia="Times New Roman" w:hAnsi="Times New Roman"/>
          <w:sz w:val="22"/>
          <w:szCs w:val="22"/>
          <w:b w:val="1"/>
          <w:bCs w:val="1"/>
          <w:color w:val="auto"/>
        </w:rPr>
      </w:pPr>
    </w:p>
    <w:p>
      <w:pPr>
        <w:jc w:val="both"/>
        <w:ind w:left="1300" w:right="299" w:firstLine="640"/>
        <w:spacing w:after="0" w:line="233" w:lineRule="auto"/>
        <w:tabs>
          <w:tab w:leader="none" w:pos="2380"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Delegation to an Officer. </w:t>
      </w:r>
      <w:r>
        <w:rPr>
          <w:rFonts w:ascii="Times New Roman" w:cs="Times New Roman" w:eastAsia="Times New Roman" w:hAnsi="Times New Roman"/>
          <w:sz w:val="22"/>
          <w:szCs w:val="22"/>
          <w:color w:val="auto"/>
        </w:rPr>
        <w:t>The Board or any Committee may delegate to one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79" w:lineRule="exact"/>
        <w:rPr>
          <w:rFonts w:ascii="Times New Roman" w:cs="Times New Roman" w:eastAsia="Times New Roman" w:hAnsi="Times New Roman"/>
          <w:sz w:val="22"/>
          <w:szCs w:val="22"/>
          <w:b w:val="1"/>
          <w:bCs w:val="1"/>
          <w:color w:val="auto"/>
        </w:rPr>
      </w:pPr>
    </w:p>
    <w:p>
      <w:pPr>
        <w:ind w:left="1720" w:hanging="428"/>
        <w:spacing w:after="0"/>
        <w:tabs>
          <w:tab w:leader="none" w:pos="172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206" w:lineRule="exact"/>
        <w:rPr>
          <w:rFonts w:ascii="Times New Roman" w:cs="Times New Roman" w:eastAsia="Times New Roman" w:hAnsi="Times New Roman"/>
          <w:sz w:val="22"/>
          <w:szCs w:val="22"/>
          <w:b w:val="1"/>
          <w:bCs w:val="1"/>
          <w:color w:val="auto"/>
        </w:rPr>
      </w:pPr>
    </w:p>
    <w:p>
      <w:pPr>
        <w:jc w:val="both"/>
        <w:ind w:left="1300" w:right="299" w:firstLine="640"/>
        <w:spacing w:after="0" w:line="235" w:lineRule="auto"/>
        <w:tabs>
          <w:tab w:leader="none" w:pos="2380"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Authorization. </w:t>
      </w:r>
      <w:r>
        <w:rPr>
          <w:rFonts w:ascii="Times New Roman" w:cs="Times New Roman" w:eastAsia="Times New Roman" w:hAnsi="Times New Roman"/>
          <w:sz w:val="22"/>
          <w:szCs w:val="22"/>
          <w:color w:val="auto"/>
        </w:rPr>
        <w:t>As a condition to acceptance of any Award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 Participant authorizes withholding from payroll and 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73" w:lineRule="exact"/>
        <w:rPr>
          <w:rFonts w:ascii="Times New Roman" w:cs="Times New Roman" w:eastAsia="Times New Roman" w:hAnsi="Times New Roman"/>
          <w:sz w:val="22"/>
          <w:szCs w:val="22"/>
          <w:b w:val="1"/>
          <w:bCs w:val="1"/>
          <w:color w:val="auto"/>
        </w:rPr>
      </w:pPr>
    </w:p>
    <w:p>
      <w:pPr>
        <w:jc w:val="both"/>
        <w:ind w:left="1300" w:right="299" w:firstLine="640"/>
        <w:spacing w:after="0" w:line="234" w:lineRule="auto"/>
        <w:tabs>
          <w:tab w:leader="none" w:pos="2380"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Satisfaction of Withholding Obligation. </w:t>
      </w:r>
      <w:r>
        <w:rPr>
          <w:rFonts w:ascii="Times New Roman" w:cs="Times New Roman" w:eastAsia="Times New Roman" w:hAnsi="Times New Roman"/>
          <w:sz w:val="22"/>
          <w:szCs w:val="22"/>
          <w:color w:val="auto"/>
        </w:rPr>
        <w:t>To the extent permitted by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79" w:lineRule="exact"/>
        <w:rPr>
          <w:rFonts w:ascii="Times New Roman" w:cs="Times New Roman" w:eastAsia="Times New Roman" w:hAnsi="Times New Roman"/>
          <w:sz w:val="22"/>
          <w:szCs w:val="22"/>
          <w:b w:val="1"/>
          <w:bCs w:val="1"/>
          <w:color w:val="auto"/>
        </w:rPr>
      </w:pPr>
    </w:p>
    <w:p>
      <w:pPr>
        <w:jc w:val="both"/>
        <w:ind w:left="1300" w:right="299" w:firstLine="640"/>
        <w:spacing w:after="0" w:line="246" w:lineRule="auto"/>
        <w:tabs>
          <w:tab w:leader="none" w:pos="2380"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Obligation to Notify or Minimize Taxes; No Liability to Claims. </w:t>
      </w:r>
      <w:r>
        <w:rPr>
          <w:rFonts w:ascii="Times New Roman" w:cs="Times New Roman" w:eastAsia="Times New Roman" w:hAnsi="Times New Roman"/>
          <w:sz w:val="22"/>
          <w:szCs w:val="22"/>
          <w:color w:val="auto"/>
        </w:rPr>
        <w:t>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Applicable Law the Company has no duty or obligation to any Participant to advise such holder as to the time or manner of exercising such Award. Furthermore, the Company has</w:t>
      </w:r>
    </w:p>
    <w:p>
      <w:pPr>
        <w:spacing w:after="0" w:line="3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19" w:name="page20"/>
    <w:bookmarkEnd w:id="19"/>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00" w:right="299"/>
        <w:spacing w:after="0" w:line="243" w:lineRule="auto"/>
        <w:rPr>
          <w:sz w:val="20"/>
          <w:szCs w:val="20"/>
          <w:color w:val="auto"/>
        </w:rPr>
      </w:pPr>
      <w:r>
        <w:rPr>
          <w:rFonts w:ascii="Times New Roman" w:cs="Times New Roman" w:eastAsia="Times New Roman" w:hAnsi="Times New Roman"/>
          <w:sz w:val="21"/>
          <w:szCs w:val="21"/>
          <w:color w:val="auto"/>
        </w:rPr>
        <w:t>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3" w:lineRule="exact"/>
        <w:rPr>
          <w:sz w:val="20"/>
          <w:szCs w:val="20"/>
          <w:color w:val="auto"/>
        </w:rPr>
      </w:pPr>
    </w:p>
    <w:p>
      <w:pPr>
        <w:jc w:val="both"/>
        <w:ind w:left="1300" w:right="299" w:firstLine="640"/>
        <w:spacing w:after="0" w:line="237" w:lineRule="auto"/>
        <w:tabs>
          <w:tab w:leader="none" w:pos="2380"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Indemnification. </w:t>
      </w:r>
      <w:r>
        <w:rPr>
          <w:rFonts w:ascii="Times New Roman" w:cs="Times New Roman" w:eastAsia="Times New Roman" w:hAnsi="Times New Roman"/>
          <w:sz w:val="22"/>
          <w:szCs w:val="22"/>
          <w:color w:val="auto"/>
        </w:rPr>
        <w:t>As a condition to accepting an Award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75" w:lineRule="exact"/>
        <w:rPr>
          <w:rFonts w:ascii="Times New Roman" w:cs="Times New Roman" w:eastAsia="Times New Roman" w:hAnsi="Times New Roman"/>
          <w:sz w:val="22"/>
          <w:szCs w:val="22"/>
          <w:b w:val="1"/>
          <w:bCs w:val="1"/>
          <w:color w:val="auto"/>
        </w:rPr>
      </w:pPr>
    </w:p>
    <w:p>
      <w:pPr>
        <w:ind w:left="1720" w:hanging="428"/>
        <w:spacing w:after="0"/>
        <w:tabs>
          <w:tab w:leader="none" w:pos="172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1300" w:right="319" w:firstLine="640"/>
        <w:spacing w:after="0" w:line="246" w:lineRule="auto"/>
        <w:tabs>
          <w:tab w:leader="none" w:pos="2380"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Source of Shares. </w:t>
      </w:r>
      <w:r>
        <w:rPr>
          <w:rFonts w:ascii="Times New Roman" w:cs="Times New Roman" w:eastAsia="Times New Roman" w:hAnsi="Times New Roman"/>
          <w:sz w:val="22"/>
          <w:szCs w:val="22"/>
          <w:color w:val="auto"/>
        </w:rPr>
        <w:t>The stock issuable under the Plan will be shares of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unissued or reacquired Common Stock, including shares repurchased by the Company on the open market or otherwise.</w:t>
      </w:r>
    </w:p>
    <w:p>
      <w:pPr>
        <w:spacing w:after="0" w:line="167" w:lineRule="exact"/>
        <w:rPr>
          <w:rFonts w:ascii="Times New Roman" w:cs="Times New Roman" w:eastAsia="Times New Roman" w:hAnsi="Times New Roman"/>
          <w:sz w:val="22"/>
          <w:szCs w:val="22"/>
          <w:b w:val="1"/>
          <w:bCs w:val="1"/>
          <w:color w:val="auto"/>
        </w:rPr>
      </w:pPr>
    </w:p>
    <w:p>
      <w:pPr>
        <w:ind w:left="1300" w:right="319" w:firstLine="640"/>
        <w:spacing w:after="0" w:line="262" w:lineRule="auto"/>
        <w:tabs>
          <w:tab w:leader="none" w:pos="2380"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Use of Proceeds from Sales of Common Stock. </w:t>
      </w:r>
      <w:r>
        <w:rPr>
          <w:rFonts w:ascii="Times New Roman" w:cs="Times New Roman" w:eastAsia="Times New Roman" w:hAnsi="Times New Roman"/>
          <w:sz w:val="22"/>
          <w:szCs w:val="22"/>
          <w:color w:val="auto"/>
        </w:rPr>
        <w:t>Proceeds from the sale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Common Stock pursuant to Awards will constitute general funds of the Company.</w:t>
      </w:r>
    </w:p>
    <w:p>
      <w:pPr>
        <w:spacing w:after="0" w:line="149" w:lineRule="exact"/>
        <w:rPr>
          <w:rFonts w:ascii="Times New Roman" w:cs="Times New Roman" w:eastAsia="Times New Roman" w:hAnsi="Times New Roman"/>
          <w:sz w:val="22"/>
          <w:szCs w:val="22"/>
          <w:b w:val="1"/>
          <w:bCs w:val="1"/>
          <w:color w:val="auto"/>
        </w:rPr>
      </w:pPr>
    </w:p>
    <w:p>
      <w:pPr>
        <w:jc w:val="both"/>
        <w:ind w:left="1300" w:right="299" w:firstLine="640"/>
        <w:spacing w:after="0" w:line="234" w:lineRule="auto"/>
        <w:tabs>
          <w:tab w:leader="none" w:pos="2380"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Corporate Action Constituting Grant of Awards. </w:t>
      </w:r>
      <w:r>
        <w:rPr>
          <w:rFonts w:ascii="Times New Roman" w:cs="Times New Roman" w:eastAsia="Times New Roman" w:hAnsi="Times New Roman"/>
          <w:sz w:val="22"/>
          <w:szCs w:val="22"/>
          <w:color w:val="auto"/>
        </w:rPr>
        <w:t>Corporate action constituting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200" w:lineRule="exact"/>
        <w:rPr>
          <w:sz w:val="20"/>
          <w:szCs w:val="20"/>
          <w:color w:val="auto"/>
        </w:rPr>
      </w:pPr>
    </w:p>
    <w:p>
      <w:pPr>
        <w:spacing w:after="0" w:line="3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1300" w:right="299" w:firstLine="640"/>
        <w:spacing w:after="0" w:line="238" w:lineRule="auto"/>
        <w:tabs>
          <w:tab w:leader="none" w:pos="238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Stockholder Rights. </w:t>
      </w:r>
      <w:r>
        <w:rPr>
          <w:rFonts w:ascii="Times New Roman" w:cs="Times New Roman" w:eastAsia="Times New Roman" w:hAnsi="Times New Roman"/>
          <w:sz w:val="22"/>
          <w:szCs w:val="22"/>
          <w:color w:val="auto"/>
        </w:rPr>
        <w:t>No Participant will be deemed to be the holder of, or to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6" w:lineRule="exact"/>
        <w:rPr>
          <w:rFonts w:ascii="Times New Roman" w:cs="Times New Roman" w:eastAsia="Times New Roman" w:hAnsi="Times New Roman"/>
          <w:sz w:val="22"/>
          <w:szCs w:val="22"/>
          <w:b w:val="1"/>
          <w:bCs w:val="1"/>
          <w:color w:val="auto"/>
        </w:rPr>
      </w:pPr>
    </w:p>
    <w:p>
      <w:pPr>
        <w:jc w:val="both"/>
        <w:ind w:left="1300" w:right="299" w:firstLine="640"/>
        <w:spacing w:after="0" w:line="232" w:lineRule="auto"/>
        <w:tabs>
          <w:tab w:leader="none" w:pos="238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Employment or Other Service Rights. </w:t>
      </w:r>
      <w:r>
        <w:rPr>
          <w:rFonts w:ascii="Times New Roman" w:cs="Times New Roman" w:eastAsia="Times New Roman" w:hAnsi="Times New Roman"/>
          <w:sz w:val="22"/>
          <w:szCs w:val="22"/>
          <w:color w:val="auto"/>
        </w:rPr>
        <w:t>Nothing in the Plan, any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9" w:lineRule="exact"/>
        <w:rPr>
          <w:rFonts w:ascii="Times New Roman" w:cs="Times New Roman" w:eastAsia="Times New Roman" w:hAnsi="Times New Roman"/>
          <w:sz w:val="22"/>
          <w:szCs w:val="22"/>
          <w:b w:val="1"/>
          <w:bCs w:val="1"/>
          <w:color w:val="auto"/>
        </w:rPr>
      </w:pPr>
    </w:p>
    <w:p>
      <w:pPr>
        <w:jc w:val="both"/>
        <w:ind w:left="1300" w:right="299" w:firstLine="640"/>
        <w:spacing w:after="0" w:line="234" w:lineRule="auto"/>
        <w:tabs>
          <w:tab w:leader="none" w:pos="238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Change in Time Commitment. </w:t>
      </w:r>
      <w:r>
        <w:rPr>
          <w:rFonts w:ascii="Times New Roman" w:cs="Times New Roman" w:eastAsia="Times New Roman" w:hAnsi="Times New Roman"/>
          <w:sz w:val="22"/>
          <w:szCs w:val="22"/>
          <w:color w:val="auto"/>
        </w:rPr>
        <w:t>In the event a Participant’s regular level of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5" w:lineRule="exact"/>
        <w:rPr>
          <w:rFonts w:ascii="Times New Roman" w:cs="Times New Roman" w:eastAsia="Times New Roman" w:hAnsi="Times New Roman"/>
          <w:sz w:val="22"/>
          <w:szCs w:val="22"/>
          <w:b w:val="1"/>
          <w:bCs w:val="1"/>
          <w:color w:val="auto"/>
        </w:rPr>
      </w:pPr>
    </w:p>
    <w:p>
      <w:pPr>
        <w:jc w:val="both"/>
        <w:ind w:left="1300" w:right="299" w:firstLine="640"/>
        <w:spacing w:after="0" w:line="238" w:lineRule="auto"/>
        <w:tabs>
          <w:tab w:leader="none" w:pos="238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Execution of Additional Documents. </w:t>
      </w:r>
      <w:r>
        <w:rPr>
          <w:rFonts w:ascii="Times New Roman" w:cs="Times New Roman" w:eastAsia="Times New Roman" w:hAnsi="Times New Roman"/>
          <w:sz w:val="22"/>
          <w:szCs w:val="22"/>
          <w:color w:val="auto"/>
        </w:rPr>
        <w:t>As a condition to accepting an Award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6" w:lineRule="exact"/>
        <w:rPr>
          <w:rFonts w:ascii="Times New Roman" w:cs="Times New Roman" w:eastAsia="Times New Roman" w:hAnsi="Times New Roman"/>
          <w:sz w:val="22"/>
          <w:szCs w:val="22"/>
          <w:b w:val="1"/>
          <w:bCs w:val="1"/>
          <w:color w:val="auto"/>
        </w:rPr>
      </w:pPr>
    </w:p>
    <w:p>
      <w:pPr>
        <w:jc w:val="both"/>
        <w:ind w:left="1300" w:right="299" w:firstLine="640"/>
        <w:spacing w:after="0" w:line="236" w:lineRule="auto"/>
        <w:tabs>
          <w:tab w:leader="none" w:pos="238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Electronic Delivery and Participation. </w:t>
      </w:r>
      <w:r>
        <w:rPr>
          <w:rFonts w:ascii="Times New Roman" w:cs="Times New Roman" w:eastAsia="Times New Roman" w:hAnsi="Times New Roman"/>
          <w:sz w:val="22"/>
          <w:szCs w:val="22"/>
          <w:color w:val="auto"/>
        </w:rPr>
        <w:t>Any reference herein or in an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w:t>
      </w:r>
    </w:p>
    <w:p>
      <w:pPr>
        <w:spacing w:after="0" w:line="36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1" w:name="page22"/>
    <w:bookmarkEnd w:id="21"/>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00" w:right="299"/>
        <w:spacing w:after="0" w:line="244" w:lineRule="auto"/>
        <w:rPr>
          <w:sz w:val="20"/>
          <w:szCs w:val="20"/>
          <w:color w:val="auto"/>
        </w:rPr>
      </w:pPr>
      <w:r>
        <w:rPr>
          <w:rFonts w:ascii="Times New Roman" w:cs="Times New Roman" w:eastAsia="Times New Roman" w:hAnsi="Times New Roman"/>
          <w:sz w:val="22"/>
          <w:szCs w:val="22"/>
          <w:color w:val="auto"/>
        </w:rPr>
        <w:t>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69" w:lineRule="exact"/>
        <w:rPr>
          <w:sz w:val="20"/>
          <w:szCs w:val="20"/>
          <w:color w:val="auto"/>
        </w:rPr>
      </w:pPr>
    </w:p>
    <w:p>
      <w:pPr>
        <w:jc w:val="both"/>
        <w:ind w:left="1300" w:right="299" w:firstLine="640"/>
        <w:spacing w:after="0" w:line="233" w:lineRule="auto"/>
        <w:tabs>
          <w:tab w:leader="none" w:pos="23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Clawback/Recovery. </w:t>
      </w:r>
      <w:r>
        <w:rPr>
          <w:rFonts w:ascii="Times New Roman" w:cs="Times New Roman" w:eastAsia="Times New Roman" w:hAnsi="Times New Roman"/>
          <w:sz w:val="22"/>
          <w:szCs w:val="22"/>
          <w:color w:val="auto"/>
        </w:rPr>
        <w:t>All Awards granted under the Plan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82" w:lineRule="exact"/>
        <w:rPr>
          <w:rFonts w:ascii="Times New Roman" w:cs="Times New Roman" w:eastAsia="Times New Roman" w:hAnsi="Times New Roman"/>
          <w:sz w:val="22"/>
          <w:szCs w:val="22"/>
          <w:b w:val="1"/>
          <w:bCs w:val="1"/>
          <w:color w:val="auto"/>
        </w:rPr>
      </w:pPr>
    </w:p>
    <w:p>
      <w:pPr>
        <w:jc w:val="both"/>
        <w:ind w:left="1300" w:right="299" w:firstLine="640"/>
        <w:spacing w:after="0" w:line="237" w:lineRule="auto"/>
        <w:tabs>
          <w:tab w:leader="none" w:pos="23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Securities Law Compliance. </w:t>
      </w:r>
      <w:r>
        <w:rPr>
          <w:rFonts w:ascii="Times New Roman" w:cs="Times New Roman" w:eastAsia="Times New Roman" w:hAnsi="Times New Roman"/>
          <w:sz w:val="22"/>
          <w:szCs w:val="22"/>
          <w:color w:val="auto"/>
        </w:rPr>
        <w:t>A Participant will not be issued any shares in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5" w:lineRule="exact"/>
        <w:rPr>
          <w:rFonts w:ascii="Times New Roman" w:cs="Times New Roman" w:eastAsia="Times New Roman" w:hAnsi="Times New Roman"/>
          <w:sz w:val="22"/>
          <w:szCs w:val="22"/>
          <w:b w:val="1"/>
          <w:bCs w:val="1"/>
          <w:color w:val="auto"/>
        </w:rPr>
      </w:pPr>
    </w:p>
    <w:p>
      <w:pPr>
        <w:jc w:val="both"/>
        <w:ind w:left="1300" w:right="299" w:firstLine="640"/>
        <w:spacing w:after="0" w:line="236" w:lineRule="auto"/>
        <w:tabs>
          <w:tab w:leader="none" w:pos="23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 or Assignment of Awards; Issued Shares. </w:t>
      </w:r>
      <w:r>
        <w:rPr>
          <w:rFonts w:ascii="Times New Roman" w:cs="Times New Roman" w:eastAsia="Times New Roman" w:hAnsi="Times New Roman"/>
          <w:sz w:val="22"/>
          <w:szCs w:val="22"/>
          <w:color w:val="auto"/>
        </w:rPr>
        <w:t>Except as expressly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5" w:lineRule="exact"/>
        <w:rPr>
          <w:rFonts w:ascii="Times New Roman" w:cs="Times New Roman" w:eastAsia="Times New Roman" w:hAnsi="Times New Roman"/>
          <w:sz w:val="22"/>
          <w:szCs w:val="22"/>
          <w:b w:val="1"/>
          <w:bCs w:val="1"/>
          <w:color w:val="auto"/>
        </w:rPr>
      </w:pPr>
    </w:p>
    <w:p>
      <w:pPr>
        <w:jc w:val="both"/>
        <w:ind w:left="1300" w:right="299" w:firstLine="640"/>
        <w:spacing w:after="0" w:line="237" w:lineRule="auto"/>
        <w:tabs>
          <w:tab w:leader="none" w:pos="23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on Other Employee Benefit Plans. </w:t>
      </w:r>
      <w:r>
        <w:rPr>
          <w:rFonts w:ascii="Times New Roman" w:cs="Times New Roman" w:eastAsia="Times New Roman" w:hAnsi="Times New Roman"/>
          <w:sz w:val="22"/>
          <w:szCs w:val="22"/>
          <w:color w:val="auto"/>
        </w:rPr>
        <w:t>The value of any Award granted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5" w:lineRule="exact"/>
        <w:rPr>
          <w:rFonts w:ascii="Times New Roman" w:cs="Times New Roman" w:eastAsia="Times New Roman" w:hAnsi="Times New Roman"/>
          <w:sz w:val="22"/>
          <w:szCs w:val="22"/>
          <w:b w:val="1"/>
          <w:bCs w:val="1"/>
          <w:color w:val="auto"/>
        </w:rPr>
      </w:pPr>
    </w:p>
    <w:p>
      <w:pPr>
        <w:jc w:val="both"/>
        <w:ind w:left="1300" w:right="299" w:firstLine="640"/>
        <w:spacing w:after="0" w:line="238" w:lineRule="auto"/>
        <w:tabs>
          <w:tab w:leader="none" w:pos="23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Deferrals. </w:t>
      </w:r>
      <w:r>
        <w:rPr>
          <w:rFonts w:ascii="Times New Roman" w:cs="Times New Roman" w:eastAsia="Times New Roman" w:hAnsi="Times New Roman"/>
          <w:sz w:val="22"/>
          <w:szCs w:val="22"/>
          <w:color w:val="auto"/>
        </w:rPr>
        <w:t>To the extent permitted by Applicable Law, the Board, in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may 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2" w:name="page23"/>
    <w:bookmarkEnd w:id="22"/>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1300" w:right="299" w:firstLine="640"/>
        <w:spacing w:after="0" w:line="232" w:lineRule="auto"/>
        <w:tabs>
          <w:tab w:leader="none" w:pos="2380"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Section 409A. </w:t>
      </w:r>
      <w:r>
        <w:rPr>
          <w:rFonts w:ascii="Times New Roman" w:cs="Times New Roman" w:eastAsia="Times New Roman" w:hAnsi="Times New Roman"/>
          <w:sz w:val="22"/>
          <w:szCs w:val="22"/>
          <w:color w:val="auto"/>
        </w:rPr>
        <w:t>Unless otherwise expressly provided for in an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6" w:lineRule="exact"/>
        <w:rPr>
          <w:rFonts w:ascii="Times New Roman" w:cs="Times New Roman" w:eastAsia="Times New Roman" w:hAnsi="Times New Roman"/>
          <w:sz w:val="22"/>
          <w:szCs w:val="22"/>
          <w:b w:val="1"/>
          <w:bCs w:val="1"/>
          <w:color w:val="auto"/>
        </w:rPr>
      </w:pPr>
    </w:p>
    <w:p>
      <w:pPr>
        <w:jc w:val="both"/>
        <w:ind w:left="1300" w:right="299" w:firstLine="640"/>
        <w:spacing w:after="0" w:line="241" w:lineRule="auto"/>
        <w:tabs>
          <w:tab w:leader="none" w:pos="2380"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and any controversy arising out of or relating to this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governed by, and construed in accordance with, the internal laws of the State of Delaware, without regard to conflict of law principles that would result in any application of any law other than the law of the State of Delaware.</w:t>
      </w:r>
    </w:p>
    <w:p>
      <w:pPr>
        <w:spacing w:after="0" w:line="171" w:lineRule="exact"/>
        <w:rPr>
          <w:rFonts w:ascii="Times New Roman" w:cs="Times New Roman" w:eastAsia="Times New Roman" w:hAnsi="Times New Roman"/>
          <w:sz w:val="22"/>
          <w:szCs w:val="22"/>
          <w:b w:val="1"/>
          <w:bCs w:val="1"/>
          <w:color w:val="auto"/>
        </w:rPr>
      </w:pPr>
    </w:p>
    <w:p>
      <w:pPr>
        <w:ind w:left="1720" w:hanging="428"/>
        <w:spacing w:after="0"/>
        <w:tabs>
          <w:tab w:leader="none" w:pos="172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1300" w:right="299" w:firstLine="640"/>
        <w:spacing w:after="0" w:line="233" w:lineRule="auto"/>
        <w:tabs>
          <w:tab w:leader="none" w:pos="2380"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Law. </w:t>
      </w:r>
      <w:r>
        <w:rPr>
          <w:rFonts w:ascii="Times New Roman" w:cs="Times New Roman" w:eastAsia="Times New Roman" w:hAnsi="Times New Roman"/>
          <w:sz w:val="22"/>
          <w:szCs w:val="22"/>
          <w:color w:val="auto"/>
        </w:rPr>
        <w:t>The Company will seek to obtain from each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2" w:lineRule="exact"/>
        <w:rPr>
          <w:rFonts w:ascii="Times New Roman" w:cs="Times New Roman" w:eastAsia="Times New Roman" w:hAnsi="Times New Roman"/>
          <w:sz w:val="22"/>
          <w:szCs w:val="22"/>
          <w:b w:val="1"/>
          <w:bCs w:val="1"/>
          <w:color w:val="auto"/>
        </w:rPr>
      </w:pPr>
    </w:p>
    <w:p>
      <w:pPr>
        <w:ind w:left="1720" w:hanging="428"/>
        <w:spacing w:after="0"/>
        <w:tabs>
          <w:tab w:leader="none" w:pos="172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409A.</w:t>
      </w:r>
    </w:p>
    <w:p>
      <w:pPr>
        <w:spacing w:after="0" w:line="206" w:lineRule="exact"/>
        <w:rPr>
          <w:rFonts w:ascii="Times New Roman" w:cs="Times New Roman" w:eastAsia="Times New Roman" w:hAnsi="Times New Roman"/>
          <w:sz w:val="22"/>
          <w:szCs w:val="22"/>
          <w:b w:val="1"/>
          <w:bCs w:val="1"/>
          <w:color w:val="auto"/>
        </w:rPr>
      </w:pPr>
    </w:p>
    <w:p>
      <w:pPr>
        <w:jc w:val="both"/>
        <w:ind w:left="1300" w:right="299" w:firstLine="640"/>
        <w:spacing w:after="0" w:line="241" w:lineRule="auto"/>
        <w:tabs>
          <w:tab w:leader="none" w:pos="2380"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Application. </w:t>
      </w:r>
      <w:r>
        <w:rPr>
          <w:rFonts w:ascii="Times New Roman" w:cs="Times New Roman" w:eastAsia="Times New Roman" w:hAnsi="Times New Roman"/>
          <w:sz w:val="22"/>
          <w:szCs w:val="22"/>
          <w:color w:val="auto"/>
        </w:rPr>
        <w:t>Unless the provisions of this Section of the Plan are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superseded by the provisions in the form of Award Agreement, the provisions of this Section shall apply and shall supersede anything to the contrary set forth in the Award Agreement for a Non-Exempt Award.</w:t>
      </w:r>
    </w:p>
    <w:p>
      <w:pPr>
        <w:spacing w:after="0" w:line="200" w:lineRule="exact"/>
        <w:rPr>
          <w:sz w:val="20"/>
          <w:szCs w:val="20"/>
          <w:color w:val="auto"/>
        </w:rPr>
      </w:pPr>
    </w:p>
    <w:p>
      <w:pPr>
        <w:spacing w:after="0" w:line="3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1300" w:right="299" w:firstLine="640"/>
        <w:spacing w:after="0" w:line="246" w:lineRule="auto"/>
        <w:tabs>
          <w:tab w:leader="none" w:pos="238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Non-Exempt Awards Subject to Non-Exempt Severance Arrangements. </w:t>
      </w:r>
      <w:r>
        <w:rPr>
          <w:rFonts w:ascii="Times New Roman" w:cs="Times New Roman" w:eastAsia="Times New Roman" w:hAnsi="Times New Roman"/>
          <w:sz w:val="22"/>
          <w:szCs w:val="22"/>
          <w:color w:val="auto"/>
        </w:rPr>
        <w:t>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a Non-Exempt Award is subject to Section 409A due to application of a Non-Exempt Severance Arrangement, the following provisions of this subsection (b) apply.</w:t>
      </w:r>
    </w:p>
    <w:p>
      <w:pPr>
        <w:spacing w:after="0" w:line="171" w:lineRule="exact"/>
        <w:rPr>
          <w:rFonts w:ascii="Times New Roman" w:cs="Times New Roman" w:eastAsia="Times New Roman" w:hAnsi="Times New Roman"/>
          <w:sz w:val="22"/>
          <w:szCs w:val="22"/>
          <w:b w:val="1"/>
          <w:bCs w:val="1"/>
          <w:color w:val="auto"/>
        </w:rPr>
      </w:pPr>
    </w:p>
    <w:p>
      <w:pPr>
        <w:jc w:val="both"/>
        <w:ind w:left="1380" w:right="299" w:firstLine="1289"/>
        <w:spacing w:after="0" w:line="236" w:lineRule="auto"/>
        <w:tabs>
          <w:tab w:leader="none" w:pos="3189"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calendar year that includes the applicable vesting date, or (ii)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that follows the applicable vesting date.</w:t>
      </w:r>
    </w:p>
    <w:p>
      <w:pPr>
        <w:spacing w:after="0" w:line="72" w:lineRule="exact"/>
        <w:rPr>
          <w:rFonts w:ascii="Times New Roman" w:cs="Times New Roman" w:eastAsia="Times New Roman" w:hAnsi="Times New Roman"/>
          <w:sz w:val="22"/>
          <w:szCs w:val="22"/>
          <w:b w:val="1"/>
          <w:bCs w:val="1"/>
          <w:color w:val="auto"/>
        </w:rPr>
      </w:pPr>
    </w:p>
    <w:p>
      <w:pPr>
        <w:jc w:val="both"/>
        <w:ind w:left="1380" w:right="299" w:firstLine="1289"/>
        <w:spacing w:after="0" w:line="229" w:lineRule="auto"/>
        <w:tabs>
          <w:tab w:leader="none" w:pos="3108"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84" w:lineRule="exact"/>
        <w:rPr>
          <w:rFonts w:ascii="Times New Roman" w:cs="Times New Roman" w:eastAsia="Times New Roman" w:hAnsi="Times New Roman"/>
          <w:sz w:val="22"/>
          <w:szCs w:val="22"/>
          <w:b w:val="1"/>
          <w:bCs w:val="1"/>
          <w:color w:val="auto"/>
        </w:rPr>
      </w:pPr>
    </w:p>
    <w:p>
      <w:pPr>
        <w:jc w:val="both"/>
        <w:ind w:left="1380" w:right="299" w:firstLine="1289"/>
        <w:spacing w:after="0" w:line="246" w:lineRule="auto"/>
        <w:tabs>
          <w:tab w:leader="none" w:pos="3121" w:val="left"/>
        </w:tabs>
        <w:numPr>
          <w:ilvl w:val="1"/>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66" w:lineRule="exact"/>
        <w:rPr>
          <w:rFonts w:ascii="Times New Roman" w:cs="Times New Roman" w:eastAsia="Times New Roman" w:hAnsi="Times New Roman"/>
          <w:sz w:val="21"/>
          <w:szCs w:val="21"/>
          <w:b w:val="1"/>
          <w:bCs w:val="1"/>
          <w:color w:val="auto"/>
        </w:rPr>
      </w:pPr>
    </w:p>
    <w:p>
      <w:pPr>
        <w:ind w:left="1300" w:right="299" w:firstLine="640"/>
        <w:spacing w:after="0" w:line="238" w:lineRule="auto"/>
        <w:tabs>
          <w:tab w:leader="none" w:pos="238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Treatment of Non-Exempt Awards Upon a Corporate Transaction for Employees and Consultants. </w:t>
      </w:r>
      <w:r>
        <w:rPr>
          <w:rFonts w:ascii="Times New Roman" w:cs="Times New Roman" w:eastAsia="Times New Roman" w:hAnsi="Times New Roman"/>
          <w:sz w:val="22"/>
          <w:szCs w:val="22"/>
          <w:color w:val="auto"/>
        </w:rPr>
        <w:t>The provisions of this subsection (c) shall apply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76" w:lineRule="exact"/>
        <w:rPr>
          <w:rFonts w:ascii="Times New Roman" w:cs="Times New Roman" w:eastAsia="Times New Roman" w:hAnsi="Times New Roman"/>
          <w:sz w:val="22"/>
          <w:szCs w:val="22"/>
          <w:b w:val="1"/>
          <w:bCs w:val="1"/>
          <w:color w:val="auto"/>
        </w:rPr>
      </w:pPr>
    </w:p>
    <w:p>
      <w:pPr>
        <w:ind w:left="1380" w:right="299" w:firstLine="1289"/>
        <w:spacing w:after="0" w:line="262" w:lineRule="auto"/>
        <w:tabs>
          <w:tab w:leader="none" w:pos="3108"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Vested Non-Exempt Awards. </w:t>
      </w:r>
      <w:r>
        <w:rPr>
          <w:rFonts w:ascii="Times New Roman" w:cs="Times New Roman" w:eastAsia="Times New Roman" w:hAnsi="Times New Roman"/>
          <w:sz w:val="22"/>
          <w:szCs w:val="22"/>
          <w:color w:val="auto"/>
        </w:rPr>
        <w:t>The following provisions shall apply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Non-Exempt Award in connection with a Corporate Transaction:</w:t>
      </w:r>
    </w:p>
    <w:p>
      <w:pPr>
        <w:spacing w:after="0" w:line="153" w:lineRule="exact"/>
        <w:rPr>
          <w:rFonts w:ascii="Times New Roman" w:cs="Times New Roman" w:eastAsia="Times New Roman" w:hAnsi="Times New Roman"/>
          <w:sz w:val="22"/>
          <w:szCs w:val="22"/>
          <w:b w:val="1"/>
          <w:bCs w:val="1"/>
          <w:color w:val="auto"/>
        </w:rPr>
      </w:pPr>
    </w:p>
    <w:p>
      <w:pPr>
        <w:jc w:val="both"/>
        <w:ind w:left="1300" w:right="299" w:firstLine="1936"/>
        <w:spacing w:after="0" w:line="244" w:lineRule="auto"/>
        <w:tabs>
          <w:tab w:leader="none" w:pos="3730" w:val="left"/>
        </w:tabs>
        <w:numPr>
          <w:ilvl w:val="2"/>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Corporate Transaction is also a Section 409A Change in Control then the Acquiring Entity may not assume, continue or substitute the Vested Non-Exempt</w:t>
      </w:r>
    </w:p>
    <w:p>
      <w:pPr>
        <w:spacing w:after="0" w:line="3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4" w:name="page25"/>
    <w:bookmarkEnd w:id="24"/>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00" w:right="299"/>
        <w:spacing w:after="0" w:line="238" w:lineRule="auto"/>
        <w:rPr>
          <w:sz w:val="20"/>
          <w:szCs w:val="20"/>
          <w:color w:val="auto"/>
        </w:rPr>
      </w:pPr>
      <w:r>
        <w:rPr>
          <w:rFonts w:ascii="Times New Roman" w:cs="Times New Roman" w:eastAsia="Times New Roman" w:hAnsi="Times New Roman"/>
          <w:sz w:val="22"/>
          <w:szCs w:val="22"/>
          <w:color w:val="auto"/>
        </w:rPr>
        <w:t>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77" w:lineRule="exact"/>
        <w:rPr>
          <w:sz w:val="20"/>
          <w:szCs w:val="20"/>
          <w:color w:val="auto"/>
        </w:rPr>
      </w:pPr>
    </w:p>
    <w:p>
      <w:pPr>
        <w:jc w:val="both"/>
        <w:ind w:left="1300" w:right="299" w:firstLine="1936"/>
        <w:spacing w:after="0" w:line="246" w:lineRule="auto"/>
        <w:tabs>
          <w:tab w:leader="none" w:pos="3703" w:val="left"/>
        </w:tabs>
        <w:numPr>
          <w:ilvl w:val="1"/>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71" w:lineRule="exact"/>
        <w:rPr>
          <w:rFonts w:ascii="Times New Roman" w:cs="Times New Roman" w:eastAsia="Times New Roman" w:hAnsi="Times New Roman"/>
          <w:sz w:val="21"/>
          <w:szCs w:val="21"/>
          <w:b w:val="1"/>
          <w:bCs w:val="1"/>
          <w:color w:val="auto"/>
        </w:rPr>
      </w:pPr>
    </w:p>
    <w:p>
      <w:pPr>
        <w:jc w:val="both"/>
        <w:ind w:left="1380" w:right="319" w:firstLine="1289"/>
        <w:spacing w:after="0" w:line="246" w:lineRule="auto"/>
        <w:tabs>
          <w:tab w:leader="none" w:pos="3108"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Unvested Non-Exempt Awards. </w:t>
      </w:r>
      <w:r>
        <w:rPr>
          <w:rFonts w:ascii="Times New Roman" w:cs="Times New Roman" w:eastAsia="Times New Roman" w:hAnsi="Times New Roman"/>
          <w:sz w:val="22"/>
          <w:szCs w:val="22"/>
          <w:color w:val="auto"/>
        </w:rPr>
        <w:t>The following provisions shall apply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Unvested Non-Exempt Award unless otherwise determined by the Board pursuant to subsection (e) of this Section.</w:t>
      </w:r>
    </w:p>
    <w:p>
      <w:pPr>
        <w:spacing w:after="0" w:line="171" w:lineRule="exact"/>
        <w:rPr>
          <w:rFonts w:ascii="Times New Roman" w:cs="Times New Roman" w:eastAsia="Times New Roman" w:hAnsi="Times New Roman"/>
          <w:sz w:val="22"/>
          <w:szCs w:val="22"/>
          <w:b w:val="1"/>
          <w:bCs w:val="1"/>
          <w:color w:val="auto"/>
        </w:rPr>
      </w:pPr>
    </w:p>
    <w:p>
      <w:pPr>
        <w:jc w:val="both"/>
        <w:ind w:left="1300" w:right="299" w:firstLine="1936"/>
        <w:spacing w:after="0" w:line="245" w:lineRule="auto"/>
        <w:tabs>
          <w:tab w:leader="none" w:pos="3703" w:val="left"/>
        </w:tabs>
        <w:numPr>
          <w:ilvl w:val="1"/>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77" w:lineRule="exact"/>
        <w:rPr>
          <w:rFonts w:ascii="Times New Roman" w:cs="Times New Roman" w:eastAsia="Times New Roman" w:hAnsi="Times New Roman"/>
          <w:sz w:val="21"/>
          <w:szCs w:val="21"/>
          <w:b w:val="1"/>
          <w:bCs w:val="1"/>
          <w:color w:val="auto"/>
        </w:rPr>
      </w:pPr>
    </w:p>
    <w:p>
      <w:pPr>
        <w:jc w:val="both"/>
        <w:ind w:left="1300" w:right="299" w:firstLine="1936"/>
        <w:spacing w:after="0" w:line="233" w:lineRule="auto"/>
        <w:tabs>
          <w:tab w:leader="none" w:pos="3703"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00" w:right="299" w:firstLine="1936"/>
        <w:spacing w:after="0" w:line="244" w:lineRule="auto"/>
        <w:tabs>
          <w:tab w:leader="none" w:pos="3716" w:val="left"/>
        </w:tabs>
        <w:numPr>
          <w:ilvl w:val="2"/>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foregoing treatment shall apply with respect to all Unvested Non-Exempt Awards upon any Corporate Transaction, and regardless of whether or not such Corporate Transaction is also a Section 409A Change in Control.</w:t>
      </w:r>
    </w:p>
    <w:p>
      <w:pPr>
        <w:spacing w:after="0" w:line="169" w:lineRule="exact"/>
        <w:rPr>
          <w:rFonts w:ascii="Times New Roman" w:cs="Times New Roman" w:eastAsia="Times New Roman" w:hAnsi="Times New Roman"/>
          <w:sz w:val="22"/>
          <w:szCs w:val="22"/>
          <w:b w:val="1"/>
          <w:bCs w:val="1"/>
          <w:color w:val="auto"/>
        </w:rPr>
      </w:pPr>
    </w:p>
    <w:p>
      <w:pPr>
        <w:jc w:val="both"/>
        <w:ind w:left="1300" w:right="299" w:firstLine="640"/>
        <w:spacing w:after="0" w:line="256" w:lineRule="auto"/>
        <w:tabs>
          <w:tab w:leader="none" w:pos="238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Treatment of Non-Exempt Awards Upon a Corporate Transaction for Non-Employee Directors. </w:t>
      </w:r>
      <w:r>
        <w:rPr>
          <w:rFonts w:ascii="Times New Roman" w:cs="Times New Roman" w:eastAsia="Times New Roman" w:hAnsi="Times New Roman"/>
          <w:sz w:val="21"/>
          <w:szCs w:val="21"/>
          <w:color w:val="auto"/>
        </w:rPr>
        <w:t>The following provisions of this subsection (d) shall apply and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supersede anything to the contrary that may be set forth in the Plan with respect to the permitted treatment of a Non-Exempt Director Award in connection with a Corporate Transaction.</w:t>
      </w:r>
    </w:p>
    <w:p>
      <w:pPr>
        <w:spacing w:after="0" w:line="161" w:lineRule="exact"/>
        <w:rPr>
          <w:rFonts w:ascii="Times New Roman" w:cs="Times New Roman" w:eastAsia="Times New Roman" w:hAnsi="Times New Roman"/>
          <w:sz w:val="21"/>
          <w:szCs w:val="21"/>
          <w:b w:val="1"/>
          <w:bCs w:val="1"/>
          <w:color w:val="auto"/>
        </w:rPr>
      </w:pPr>
    </w:p>
    <w:p>
      <w:pPr>
        <w:jc w:val="both"/>
        <w:ind w:left="1380" w:right="299" w:firstLine="1289"/>
        <w:spacing w:after="0" w:line="235" w:lineRule="auto"/>
        <w:tabs>
          <w:tab w:leader="none" w:pos="3108"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78" w:lineRule="exact"/>
        <w:rPr>
          <w:rFonts w:ascii="Times New Roman" w:cs="Times New Roman" w:eastAsia="Times New Roman" w:hAnsi="Times New Roman"/>
          <w:sz w:val="22"/>
          <w:szCs w:val="22"/>
          <w:b w:val="1"/>
          <w:bCs w:val="1"/>
          <w:color w:val="auto"/>
        </w:rPr>
      </w:pPr>
    </w:p>
    <w:p>
      <w:pPr>
        <w:jc w:val="both"/>
        <w:ind w:left="1380" w:right="299" w:firstLine="1289"/>
        <w:spacing w:after="0" w:line="233" w:lineRule="auto"/>
        <w:tabs>
          <w:tab w:leader="none" w:pos="3108"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4" w:lineRule="exact"/>
        <w:rPr>
          <w:rFonts w:ascii="Times New Roman" w:cs="Times New Roman" w:eastAsia="Times New Roman" w:hAnsi="Times New Roman"/>
          <w:sz w:val="22"/>
          <w:szCs w:val="22"/>
          <w:b w:val="1"/>
          <w:bCs w:val="1"/>
          <w:color w:val="auto"/>
        </w:rPr>
      </w:pPr>
    </w:p>
    <w:p>
      <w:pPr>
        <w:jc w:val="both"/>
        <w:ind w:left="1300" w:right="299" w:firstLine="640"/>
        <w:spacing w:after="0" w:line="244" w:lineRule="auto"/>
        <w:tabs>
          <w:tab w:leader="none" w:pos="238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73" w:lineRule="exact"/>
        <w:rPr>
          <w:rFonts w:ascii="Times New Roman" w:cs="Times New Roman" w:eastAsia="Times New Roman" w:hAnsi="Times New Roman"/>
          <w:sz w:val="22"/>
          <w:szCs w:val="22"/>
          <w:b w:val="1"/>
          <w:bCs w:val="1"/>
          <w:color w:val="auto"/>
        </w:rPr>
      </w:pPr>
    </w:p>
    <w:p>
      <w:pPr>
        <w:jc w:val="both"/>
        <w:ind w:left="1380" w:right="319" w:firstLine="1289"/>
        <w:spacing w:after="0" w:line="239" w:lineRule="auto"/>
        <w:tabs>
          <w:tab w:leader="none" w:pos="3108"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80" w:lineRule="exact"/>
        <w:rPr>
          <w:rFonts w:ascii="Times New Roman" w:cs="Times New Roman" w:eastAsia="Times New Roman" w:hAnsi="Times New Roman"/>
          <w:sz w:val="22"/>
          <w:szCs w:val="22"/>
          <w:b w:val="1"/>
          <w:bCs w:val="1"/>
          <w:color w:val="auto"/>
        </w:rPr>
      </w:pPr>
    </w:p>
    <w:p>
      <w:pPr>
        <w:jc w:val="both"/>
        <w:ind w:left="1380" w:right="299" w:firstLine="1289"/>
        <w:spacing w:after="0" w:line="239" w:lineRule="auto"/>
        <w:tabs>
          <w:tab w:leader="none" w:pos="3108"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80" w:lineRule="exact"/>
        <w:rPr>
          <w:rFonts w:ascii="Times New Roman" w:cs="Times New Roman" w:eastAsia="Times New Roman" w:hAnsi="Times New Roman"/>
          <w:sz w:val="22"/>
          <w:szCs w:val="22"/>
          <w:b w:val="1"/>
          <w:bCs w:val="1"/>
          <w:color w:val="auto"/>
        </w:rPr>
      </w:pPr>
    </w:p>
    <w:p>
      <w:pPr>
        <w:jc w:val="both"/>
        <w:ind w:left="1380" w:right="299" w:firstLine="1289"/>
        <w:spacing w:after="0" w:line="244" w:lineRule="auto"/>
        <w:tabs>
          <w:tab w:leader="none" w:pos="3121"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the terms of any Non-Exempt Award provide that it will be settled upon a Change in Control or Corporate Transaction, to the extent it is required for compliance with the requirements of Section 409A, the Change in Control or Corporate</w:t>
      </w:r>
    </w:p>
    <w:p>
      <w:pPr>
        <w:spacing w:after="0" w:line="3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80" w:right="299"/>
        <w:spacing w:after="0" w:line="233" w:lineRule="auto"/>
        <w:rPr>
          <w:sz w:val="20"/>
          <w:szCs w:val="20"/>
          <w:color w:val="auto"/>
        </w:rPr>
      </w:pPr>
      <w:r>
        <w:rPr>
          <w:rFonts w:ascii="Times New Roman" w:cs="Times New Roman" w:eastAsia="Times New Roman" w:hAnsi="Times New Roman"/>
          <w:sz w:val="22"/>
          <w:szCs w:val="22"/>
          <w:color w:val="auto"/>
        </w:rPr>
        <w:t>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87" w:lineRule="exact"/>
        <w:rPr>
          <w:sz w:val="20"/>
          <w:szCs w:val="20"/>
          <w:color w:val="auto"/>
        </w:rPr>
      </w:pPr>
    </w:p>
    <w:p>
      <w:pPr>
        <w:jc w:val="both"/>
        <w:ind w:left="1380" w:right="299" w:firstLine="1289"/>
        <w:spacing w:after="0" w:line="238" w:lineRule="auto"/>
        <w:tabs>
          <w:tab w:leader="none" w:pos="3108"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72" w:lineRule="exact"/>
        <w:rPr>
          <w:rFonts w:ascii="Times New Roman" w:cs="Times New Roman" w:eastAsia="Times New Roman" w:hAnsi="Times New Roman"/>
          <w:sz w:val="22"/>
          <w:szCs w:val="22"/>
          <w:b w:val="1"/>
          <w:bCs w:val="1"/>
          <w:color w:val="auto"/>
        </w:rPr>
      </w:pPr>
    </w:p>
    <w:p>
      <w:pPr>
        <w:ind w:left="1720" w:hanging="428"/>
        <w:spacing w:after="0"/>
        <w:tabs>
          <w:tab w:leader="none" w:pos="17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1300" w:right="299" w:firstLine="648"/>
        <w:spacing w:after="0" w:line="235" w:lineRule="auto"/>
        <w:rPr>
          <w:sz w:val="20"/>
          <w:szCs w:val="20"/>
          <w:color w:val="auto"/>
        </w:rPr>
      </w:pPr>
      <w:r>
        <w:rPr>
          <w:rFonts w:ascii="Times New Roman" w:cs="Times New Roman" w:eastAsia="Times New Roman" w:hAnsi="Times New Roman"/>
          <w:sz w:val="22"/>
          <w:szCs w:val="22"/>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9" w:lineRule="exact"/>
        <w:rPr>
          <w:sz w:val="20"/>
          <w:szCs w:val="20"/>
          <w:color w:val="auto"/>
        </w:rPr>
      </w:pPr>
    </w:p>
    <w:p>
      <w:pPr>
        <w:ind w:left="1720" w:hanging="428"/>
        <w:spacing w:after="0"/>
        <w:tabs>
          <w:tab w:leader="none" w:pos="17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1300" w:right="299" w:firstLine="648"/>
        <w:spacing w:after="0" w:line="239" w:lineRule="auto"/>
        <w:rPr>
          <w:sz w:val="20"/>
          <w:szCs w:val="20"/>
          <w:color w:val="auto"/>
        </w:rPr>
      </w:pPr>
      <w:r>
        <w:rPr>
          <w:rFonts w:ascii="Times New Roman" w:cs="Times New Roman" w:eastAsia="Times New Roman" w:hAnsi="Times New Roman"/>
          <w:sz w:val="22"/>
          <w:szCs w:val="22"/>
          <w:color w:val="auto"/>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7" w:name="page28"/>
    <w:bookmarkEnd w:id="27"/>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8" w:name="page29"/>
    <w:bookmarkEnd w:id="28"/>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As used in the Plan, the following definitions apply to the capitalized terms indicated</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below:</w:t>
      </w:r>
    </w:p>
    <w:p>
      <w:pPr>
        <w:spacing w:after="0" w:line="176" w:lineRule="exact"/>
        <w:rPr>
          <w:sz w:val="20"/>
          <w:szCs w:val="20"/>
          <w:color w:val="auto"/>
        </w:rPr>
      </w:pPr>
    </w:p>
    <w:p>
      <w:pPr>
        <w:ind w:left="1300" w:right="299" w:firstLine="640"/>
        <w:spacing w:after="0" w:line="264" w:lineRule="auto"/>
        <w:tabs>
          <w:tab w:leader="none" w:pos="242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Acquiring Entity</w:t>
      </w:r>
      <w:r>
        <w:rPr>
          <w:rFonts w:ascii="Times New Roman" w:cs="Times New Roman" w:eastAsia="Times New Roman" w:hAnsi="Times New Roman"/>
          <w:sz w:val="22"/>
          <w:szCs w:val="22"/>
          <w:color w:val="auto"/>
        </w:rPr>
        <w:t>” means the surviving or acquiring corporation (or its parent company) in connection with a Corporate Transaction.</w:t>
      </w:r>
    </w:p>
    <w:p>
      <w:pPr>
        <w:spacing w:after="0" w:line="145" w:lineRule="exact"/>
        <w:rPr>
          <w:rFonts w:ascii="Times New Roman" w:cs="Times New Roman" w:eastAsia="Times New Roman" w:hAnsi="Times New Roman"/>
          <w:sz w:val="22"/>
          <w:szCs w:val="22"/>
          <w:b w:val="1"/>
          <w:bCs w:val="1"/>
          <w:color w:val="auto"/>
        </w:rPr>
      </w:pPr>
    </w:p>
    <w:p>
      <w:pPr>
        <w:ind w:left="1300" w:right="299" w:firstLine="640"/>
        <w:spacing w:after="0" w:line="264" w:lineRule="auto"/>
        <w:tabs>
          <w:tab w:leader="none" w:pos="2393"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Adoption Date</w:t>
      </w:r>
      <w:r>
        <w:rPr>
          <w:rFonts w:ascii="Times New Roman" w:cs="Times New Roman" w:eastAsia="Times New Roman" w:hAnsi="Times New Roman"/>
          <w:sz w:val="22"/>
          <w:szCs w:val="22"/>
          <w:color w:val="auto"/>
        </w:rPr>
        <w:t>” means the date the Plan, as amended and restated hereby, is first approved by the Board or Compensation Committee.</w:t>
      </w:r>
    </w:p>
    <w:p>
      <w:pPr>
        <w:spacing w:after="0" w:line="145" w:lineRule="exact"/>
        <w:rPr>
          <w:rFonts w:ascii="Times New Roman" w:cs="Times New Roman" w:eastAsia="Times New Roman" w:hAnsi="Times New Roman"/>
          <w:sz w:val="22"/>
          <w:szCs w:val="22"/>
          <w:b w:val="1"/>
          <w:bCs w:val="1"/>
          <w:color w:val="auto"/>
        </w:rPr>
      </w:pPr>
    </w:p>
    <w:p>
      <w:pPr>
        <w:jc w:val="both"/>
        <w:ind w:left="1300" w:right="299" w:firstLine="640"/>
        <w:spacing w:after="0" w:line="241" w:lineRule="auto"/>
        <w:tabs>
          <w:tab w:leader="none" w:pos="2393"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1" w:lineRule="exact"/>
        <w:rPr>
          <w:rFonts w:ascii="Times New Roman" w:cs="Times New Roman" w:eastAsia="Times New Roman" w:hAnsi="Times New Roman"/>
          <w:sz w:val="22"/>
          <w:szCs w:val="22"/>
          <w:b w:val="1"/>
          <w:bCs w:val="1"/>
          <w:color w:val="auto"/>
        </w:rPr>
      </w:pPr>
    </w:p>
    <w:p>
      <w:pPr>
        <w:jc w:val="both"/>
        <w:ind w:left="1300" w:right="299" w:firstLine="640"/>
        <w:spacing w:after="0" w:line="236" w:lineRule="auto"/>
        <w:tabs>
          <w:tab w:leader="none" w:pos="238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Law</w:t>
      </w:r>
      <w:r>
        <w:rPr>
          <w:rFonts w:ascii="Times New Roman" w:cs="Times New Roman" w:eastAsia="Times New Roman" w:hAnsi="Times New Roman"/>
          <w:sz w:val="22"/>
          <w:szCs w:val="22"/>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5" w:lineRule="exact"/>
        <w:rPr>
          <w:rFonts w:ascii="Times New Roman" w:cs="Times New Roman" w:eastAsia="Times New Roman" w:hAnsi="Times New Roman"/>
          <w:sz w:val="22"/>
          <w:szCs w:val="22"/>
          <w:b w:val="1"/>
          <w:bCs w:val="1"/>
          <w:color w:val="auto"/>
        </w:rPr>
      </w:pPr>
    </w:p>
    <w:p>
      <w:pPr>
        <w:jc w:val="both"/>
        <w:ind w:left="1300" w:right="319" w:firstLine="640"/>
        <w:spacing w:after="0" w:line="247" w:lineRule="auto"/>
        <w:tabs>
          <w:tab w:leader="none" w:pos="238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63" w:lineRule="exact"/>
        <w:rPr>
          <w:rFonts w:ascii="Times New Roman" w:cs="Times New Roman" w:eastAsia="Times New Roman" w:hAnsi="Times New Roman"/>
          <w:sz w:val="22"/>
          <w:szCs w:val="22"/>
          <w:b w:val="1"/>
          <w:bCs w:val="1"/>
          <w:color w:val="auto"/>
        </w:rPr>
      </w:pPr>
    </w:p>
    <w:p>
      <w:pPr>
        <w:jc w:val="both"/>
        <w:ind w:left="1300" w:right="299" w:firstLine="640"/>
        <w:spacing w:after="0" w:line="239" w:lineRule="auto"/>
        <w:tabs>
          <w:tab w:leader="none" w:pos="2434"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71" w:lineRule="exact"/>
        <w:rPr>
          <w:rFonts w:ascii="Times New Roman" w:cs="Times New Roman" w:eastAsia="Times New Roman" w:hAnsi="Times New Roman"/>
          <w:sz w:val="22"/>
          <w:szCs w:val="22"/>
          <w:b w:val="1"/>
          <w:bCs w:val="1"/>
          <w:color w:val="auto"/>
        </w:rPr>
      </w:pPr>
    </w:p>
    <w:p>
      <w:pPr>
        <w:jc w:val="both"/>
        <w:ind w:left="1300" w:right="299" w:firstLine="640"/>
        <w:spacing w:after="0" w:line="241" w:lineRule="auto"/>
        <w:tabs>
          <w:tab w:leader="none" w:pos="242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1" w:lineRule="exact"/>
        <w:rPr>
          <w:rFonts w:ascii="Times New Roman" w:cs="Times New Roman" w:eastAsia="Times New Roman" w:hAnsi="Times New Roman"/>
          <w:sz w:val="22"/>
          <w:szCs w:val="22"/>
          <w:b w:val="1"/>
          <w:bCs w:val="1"/>
          <w:color w:val="auto"/>
        </w:rPr>
      </w:pPr>
    </w:p>
    <w:p>
      <w:pPr>
        <w:jc w:val="both"/>
        <w:ind w:left="1300" w:right="299" w:firstLine="640"/>
        <w:spacing w:after="0" w:line="235" w:lineRule="auto"/>
        <w:tabs>
          <w:tab w:leader="none" w:pos="238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Capitalization Adjustment</w:t>
      </w:r>
      <w:r>
        <w:rPr>
          <w:rFonts w:ascii="Times New Roman" w:cs="Times New Roman" w:eastAsia="Times New Roman" w:hAnsi="Times New Roman"/>
          <w:sz w:val="22"/>
          <w:szCs w:val="22"/>
          <w:color w:val="auto"/>
        </w:rPr>
        <w:t>” means any change that is made in, or other events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w:t>
      </w:r>
    </w:p>
    <w:p>
      <w:pPr>
        <w:spacing w:after="0" w:line="3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right="299"/>
        <w:spacing w:after="0" w:line="258" w:lineRule="auto"/>
        <w:rPr>
          <w:sz w:val="20"/>
          <w:szCs w:val="20"/>
          <w:color w:val="auto"/>
        </w:rPr>
      </w:pPr>
      <w:r>
        <w:rPr>
          <w:rFonts w:ascii="Times New Roman" w:cs="Times New Roman" w:eastAsia="Times New Roman" w:hAnsi="Times New Roman"/>
          <w:sz w:val="22"/>
          <w:szCs w:val="22"/>
          <w:color w:val="auto"/>
        </w:rPr>
        <w:t>the foregoing, the conversion of any convertible securities of the Company will not be treated as a Capitalization Adjustment.</w:t>
      </w:r>
    </w:p>
    <w:p>
      <w:pPr>
        <w:spacing w:after="0" w:line="152" w:lineRule="exact"/>
        <w:rPr>
          <w:sz w:val="20"/>
          <w:szCs w:val="20"/>
          <w:color w:val="auto"/>
        </w:rPr>
      </w:pPr>
    </w:p>
    <w:p>
      <w:pPr>
        <w:jc w:val="both"/>
        <w:ind w:left="1300" w:right="299" w:firstLine="640"/>
        <w:spacing w:after="0" w:line="244" w:lineRule="auto"/>
        <w:tabs>
          <w:tab w:leader="none" w:pos="2393" w:val="left"/>
        </w:tabs>
        <w:numPr>
          <w:ilvl w:val="1"/>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or willful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78" w:lineRule="exact"/>
        <w:rPr>
          <w:rFonts w:ascii="Times New Roman" w:cs="Times New Roman" w:eastAsia="Times New Roman" w:hAnsi="Times New Roman"/>
          <w:sz w:val="21"/>
          <w:szCs w:val="21"/>
          <w:b w:val="1"/>
          <w:bCs w:val="1"/>
          <w:color w:val="auto"/>
        </w:rPr>
      </w:pPr>
    </w:p>
    <w:p>
      <w:pPr>
        <w:jc w:val="both"/>
        <w:ind w:left="1300" w:right="299" w:firstLine="640"/>
        <w:spacing w:after="0" w:line="257" w:lineRule="auto"/>
        <w:tabs>
          <w:tab w:leader="none" w:pos="2407" w:val="left"/>
        </w:tabs>
        <w:numPr>
          <w:ilvl w:val="1"/>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Change of Control</w:t>
      </w:r>
      <w:r>
        <w:rPr>
          <w:rFonts w:ascii="Times New Roman" w:cs="Times New Roman" w:eastAsia="Times New Roman" w:hAnsi="Times New Roman"/>
          <w:sz w:val="21"/>
          <w:szCs w:val="21"/>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59" w:lineRule="exact"/>
        <w:rPr>
          <w:rFonts w:ascii="Times New Roman" w:cs="Times New Roman" w:eastAsia="Times New Roman" w:hAnsi="Times New Roman"/>
          <w:sz w:val="21"/>
          <w:szCs w:val="21"/>
          <w:b w:val="1"/>
          <w:bCs w:val="1"/>
          <w:color w:val="auto"/>
        </w:rPr>
      </w:pPr>
    </w:p>
    <w:p>
      <w:pPr>
        <w:jc w:val="both"/>
        <w:ind w:left="1380" w:right="299" w:firstLine="1289"/>
        <w:spacing w:after="0" w:line="247" w:lineRule="auto"/>
        <w:tabs>
          <w:tab w:leader="none" w:pos="3148" w:val="left"/>
        </w:tabs>
        <w:numPr>
          <w:ilvl w:val="2"/>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w:t>
      </w:r>
    </w:p>
    <w:p>
      <w:pPr>
        <w:spacing w:after="0" w:line="1" w:lineRule="exact"/>
        <w:rPr>
          <w:rFonts w:ascii="Times New Roman" w:cs="Times New Roman" w:eastAsia="Times New Roman" w:hAnsi="Times New Roman"/>
          <w:sz w:val="21"/>
          <w:szCs w:val="21"/>
          <w:b w:val="1"/>
          <w:bCs w:val="1"/>
          <w:color w:val="auto"/>
        </w:rPr>
      </w:pPr>
    </w:p>
    <w:p>
      <w:pPr>
        <w:jc w:val="both"/>
        <w:ind w:left="1380" w:right="299" w:hanging="7"/>
        <w:spacing w:after="0" w:line="231" w:lineRule="auto"/>
        <w:tabs>
          <w:tab w:leader="none" w:pos="17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2"/>
          <w:szCs w:val="22"/>
          <w:i w:val="1"/>
          <w:iCs w:val="1"/>
          <w:color w:val="auto"/>
        </w:rPr>
        <w:t>Subject Person</w:t>
      </w:r>
      <w:r>
        <w:rPr>
          <w:rFonts w:ascii="Times New Roman" w:cs="Times New Roman" w:eastAsia="Times New Roman" w:hAnsi="Times New Roman"/>
          <w:sz w:val="22"/>
          <w:szCs w:val="22"/>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85" w:lineRule="exact"/>
        <w:rPr>
          <w:rFonts w:ascii="Times New Roman" w:cs="Times New Roman" w:eastAsia="Times New Roman" w:hAnsi="Times New Roman"/>
          <w:sz w:val="22"/>
          <w:szCs w:val="22"/>
          <w:color w:val="auto"/>
        </w:rPr>
      </w:pPr>
    </w:p>
    <w:p>
      <w:pPr>
        <w:jc w:val="both"/>
        <w:ind w:left="1380" w:right="299" w:firstLine="1289"/>
        <w:spacing w:after="0" w:line="238" w:lineRule="auto"/>
        <w:tabs>
          <w:tab w:leader="none" w:pos="3189" w:val="left"/>
        </w:tabs>
        <w:numPr>
          <w:ilvl w:val="2"/>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w:t>
      </w:r>
    </w:p>
    <w:p>
      <w:pPr>
        <w:spacing w:after="0" w:line="36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80" w:right="299"/>
        <w:spacing w:after="0" w:line="238" w:lineRule="auto"/>
        <w:rPr>
          <w:sz w:val="20"/>
          <w:szCs w:val="20"/>
          <w:color w:val="auto"/>
        </w:rPr>
      </w:pPr>
      <w:r>
        <w:rPr>
          <w:rFonts w:ascii="Times New Roman" w:cs="Times New Roman" w:eastAsia="Times New Roman" w:hAnsi="Times New Roman"/>
          <w:sz w:val="22"/>
          <w:szCs w:val="22"/>
          <w:color w:val="auto"/>
        </w:rPr>
        <w:t>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7" w:lineRule="exact"/>
        <w:rPr>
          <w:sz w:val="20"/>
          <w:szCs w:val="20"/>
          <w:color w:val="auto"/>
        </w:rPr>
      </w:pPr>
    </w:p>
    <w:p>
      <w:pPr>
        <w:jc w:val="both"/>
        <w:ind w:left="1380" w:right="299" w:firstLine="1289"/>
        <w:spacing w:after="0" w:line="235" w:lineRule="auto"/>
        <w:tabs>
          <w:tab w:leader="none" w:pos="310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3" w:lineRule="exact"/>
        <w:rPr>
          <w:rFonts w:ascii="Times New Roman" w:cs="Times New Roman" w:eastAsia="Times New Roman" w:hAnsi="Times New Roman"/>
          <w:sz w:val="22"/>
          <w:szCs w:val="22"/>
          <w:b w:val="1"/>
          <w:bCs w:val="1"/>
          <w:color w:val="auto"/>
        </w:rPr>
      </w:pPr>
    </w:p>
    <w:p>
      <w:pPr>
        <w:jc w:val="both"/>
        <w:ind w:left="1380" w:right="299" w:firstLine="1289"/>
        <w:spacing w:after="0" w:line="236" w:lineRule="auto"/>
        <w:tabs>
          <w:tab w:leader="none" w:pos="310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individuals who, on the date the Plan is adopted by the Board, are members of the Board (the “</w:t>
      </w:r>
      <w:r>
        <w:rPr>
          <w:rFonts w:ascii="Times New Roman" w:cs="Times New Roman" w:eastAsia="Times New Roman" w:hAnsi="Times New Roman"/>
          <w:sz w:val="22"/>
          <w:szCs w:val="22"/>
          <w:b w:val="1"/>
          <w:bCs w:val="1"/>
          <w:i w:val="1"/>
          <w:iCs w:val="1"/>
          <w:color w:val="auto"/>
        </w:rPr>
        <w:t>Incumbent Board</w:t>
      </w:r>
      <w:r>
        <w:rPr>
          <w:rFonts w:ascii="Times New Roman" w:cs="Times New Roman" w:eastAsia="Times New Roman" w:hAnsi="Times New Roman"/>
          <w:sz w:val="22"/>
          <w:szCs w:val="22"/>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1" w:lineRule="exact"/>
        <w:rPr>
          <w:sz w:val="20"/>
          <w:szCs w:val="20"/>
          <w:color w:val="auto"/>
        </w:rPr>
      </w:pPr>
    </w:p>
    <w:p>
      <w:pPr>
        <w:jc w:val="both"/>
        <w:ind w:left="1300" w:right="299" w:firstLine="648"/>
        <w:spacing w:after="0" w:line="235" w:lineRule="auto"/>
        <w:rPr>
          <w:sz w:val="20"/>
          <w:szCs w:val="20"/>
          <w:color w:val="auto"/>
        </w:rPr>
      </w:pPr>
      <w:r>
        <w:rPr>
          <w:rFonts w:ascii="Times New Roman" w:cs="Times New Roman" w:eastAsia="Times New Roman" w:hAnsi="Times New Roman"/>
          <w:sz w:val="22"/>
          <w:szCs w:val="22"/>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2" w:lineRule="exact"/>
        <w:rPr>
          <w:sz w:val="20"/>
          <w:szCs w:val="20"/>
          <w:color w:val="auto"/>
        </w:rPr>
      </w:pPr>
    </w:p>
    <w:p>
      <w:pPr>
        <w:ind w:left="1300" w:right="299" w:firstLine="640"/>
        <w:spacing w:after="0" w:line="264" w:lineRule="auto"/>
        <w:tabs>
          <w:tab w:leader="none" w:pos="24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including any applicable regulations and guidance thereunder.</w:t>
      </w:r>
    </w:p>
    <w:p>
      <w:pPr>
        <w:spacing w:after="0" w:line="145" w:lineRule="exact"/>
        <w:rPr>
          <w:rFonts w:ascii="Times New Roman" w:cs="Times New Roman" w:eastAsia="Times New Roman" w:hAnsi="Times New Roman"/>
          <w:sz w:val="22"/>
          <w:szCs w:val="22"/>
          <w:b w:val="1"/>
          <w:bCs w:val="1"/>
          <w:color w:val="auto"/>
        </w:rPr>
      </w:pPr>
    </w:p>
    <w:p>
      <w:pPr>
        <w:jc w:val="both"/>
        <w:ind w:left="1300" w:right="319" w:firstLine="640"/>
        <w:spacing w:after="0" w:line="247" w:lineRule="auto"/>
        <w:tabs>
          <w:tab w:leader="none" w:pos="24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Compensation Committee and any other committee of Directors to whom authority has been delegated by the Board or Compensation Committee in accordance with the Plan.</w:t>
      </w:r>
    </w:p>
    <w:p>
      <w:pPr>
        <w:spacing w:after="0" w:line="163" w:lineRule="exact"/>
        <w:rPr>
          <w:rFonts w:ascii="Times New Roman" w:cs="Times New Roman" w:eastAsia="Times New Roman" w:hAnsi="Times New Roman"/>
          <w:sz w:val="22"/>
          <w:szCs w:val="22"/>
          <w:b w:val="1"/>
          <w:bCs w:val="1"/>
          <w:color w:val="auto"/>
        </w:rPr>
      </w:pPr>
    </w:p>
    <w:p>
      <w:pPr>
        <w:ind w:left="2380" w:hanging="440"/>
        <w:spacing w:after="0"/>
        <w:tabs>
          <w:tab w:leader="none" w:pos="238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the common stock of the Company.</w:t>
      </w:r>
    </w:p>
    <w:p>
      <w:pPr>
        <w:spacing w:after="0" w:line="206" w:lineRule="exact"/>
        <w:rPr>
          <w:rFonts w:ascii="Times New Roman" w:cs="Times New Roman" w:eastAsia="Times New Roman" w:hAnsi="Times New Roman"/>
          <w:sz w:val="22"/>
          <w:szCs w:val="22"/>
          <w:b w:val="1"/>
          <w:bCs w:val="1"/>
          <w:color w:val="auto"/>
        </w:rPr>
      </w:pPr>
    </w:p>
    <w:p>
      <w:pPr>
        <w:ind w:left="2380" w:hanging="440"/>
        <w:spacing w:after="0"/>
        <w:tabs>
          <w:tab w:leader="none" w:pos="238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Vor Biopharma Inc., a Delaware corporation.</w:t>
      </w:r>
    </w:p>
    <w:p>
      <w:pPr>
        <w:spacing w:after="0" w:line="206" w:lineRule="exact"/>
        <w:rPr>
          <w:rFonts w:ascii="Times New Roman" w:cs="Times New Roman" w:eastAsia="Times New Roman" w:hAnsi="Times New Roman"/>
          <w:sz w:val="22"/>
          <w:szCs w:val="22"/>
          <w:b w:val="1"/>
          <w:bCs w:val="1"/>
          <w:color w:val="auto"/>
        </w:rPr>
      </w:pPr>
    </w:p>
    <w:p>
      <w:pPr>
        <w:ind w:left="2380" w:hanging="440"/>
        <w:spacing w:after="0"/>
        <w:tabs>
          <w:tab w:leader="none" w:pos="238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means the Compensation Committee of the Board.</w:t>
      </w:r>
    </w:p>
    <w:p>
      <w:pPr>
        <w:spacing w:after="0" w:line="206" w:lineRule="exact"/>
        <w:rPr>
          <w:rFonts w:ascii="Times New Roman" w:cs="Times New Roman" w:eastAsia="Times New Roman" w:hAnsi="Times New Roman"/>
          <w:sz w:val="22"/>
          <w:szCs w:val="22"/>
          <w:b w:val="1"/>
          <w:bCs w:val="1"/>
          <w:color w:val="auto"/>
        </w:rPr>
      </w:pPr>
    </w:p>
    <w:p>
      <w:pPr>
        <w:jc w:val="both"/>
        <w:ind w:left="1300" w:right="299" w:firstLine="640"/>
        <w:spacing w:after="0" w:line="236" w:lineRule="auto"/>
        <w:tabs>
          <w:tab w:leader="none" w:pos="2407"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w:t>
      </w:r>
    </w:p>
    <w:p>
      <w:pPr>
        <w:spacing w:after="0" w:line="3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31" w:name="page32"/>
    <w:bookmarkEnd w:id="31"/>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right="299"/>
        <w:spacing w:after="0" w:line="258" w:lineRule="auto"/>
        <w:rPr>
          <w:sz w:val="20"/>
          <w:szCs w:val="20"/>
          <w:color w:val="auto"/>
        </w:rPr>
      </w:pPr>
      <w:r>
        <w:rPr>
          <w:rFonts w:ascii="Times New Roman" w:cs="Times New Roman" w:eastAsia="Times New Roman" w:hAnsi="Times New Roman"/>
          <w:sz w:val="22"/>
          <w:szCs w:val="22"/>
          <w:color w:val="auto"/>
        </w:rPr>
        <w:t>Statement under the Securities Act is available to register either the offer or the sale of the Company’s securities to such person.</w:t>
      </w:r>
    </w:p>
    <w:p>
      <w:pPr>
        <w:spacing w:after="0" w:line="152" w:lineRule="exact"/>
        <w:rPr>
          <w:sz w:val="20"/>
          <w:szCs w:val="20"/>
          <w:color w:val="auto"/>
        </w:rPr>
      </w:pPr>
    </w:p>
    <w:p>
      <w:pPr>
        <w:jc w:val="both"/>
        <w:ind w:left="1300" w:right="299" w:firstLine="640"/>
        <w:spacing w:after="0" w:line="232" w:lineRule="auto"/>
        <w:tabs>
          <w:tab w:leader="none" w:pos="238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Continuous Service</w:t>
      </w:r>
      <w:r>
        <w:rPr>
          <w:rFonts w:ascii="Times New Roman" w:cs="Times New Roman" w:eastAsia="Times New Roman" w:hAnsi="Times New Roman"/>
          <w:sz w:val="22"/>
          <w:szCs w:val="22"/>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78" w:lineRule="exact"/>
        <w:rPr>
          <w:rFonts w:ascii="Times New Roman" w:cs="Times New Roman" w:eastAsia="Times New Roman" w:hAnsi="Times New Roman"/>
          <w:sz w:val="22"/>
          <w:szCs w:val="22"/>
          <w:b w:val="1"/>
          <w:bCs w:val="1"/>
          <w:color w:val="auto"/>
        </w:rPr>
      </w:pPr>
    </w:p>
    <w:p>
      <w:pPr>
        <w:ind w:left="1300" w:right="319" w:firstLine="640"/>
        <w:spacing w:after="0" w:line="264" w:lineRule="auto"/>
        <w:tabs>
          <w:tab w:leader="none" w:pos="2393"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means the consummation, in a single transaction or in a series of related transactions, of any one or more of the following events:</w:t>
      </w:r>
    </w:p>
    <w:p>
      <w:pPr>
        <w:spacing w:after="0" w:line="151" w:lineRule="exact"/>
        <w:rPr>
          <w:rFonts w:ascii="Times New Roman" w:cs="Times New Roman" w:eastAsia="Times New Roman" w:hAnsi="Times New Roman"/>
          <w:sz w:val="22"/>
          <w:szCs w:val="22"/>
          <w:b w:val="1"/>
          <w:bCs w:val="1"/>
          <w:color w:val="auto"/>
        </w:rPr>
      </w:pPr>
    </w:p>
    <w:p>
      <w:pPr>
        <w:ind w:left="1380" w:right="299" w:firstLine="1289"/>
        <w:spacing w:after="0" w:line="258" w:lineRule="auto"/>
        <w:tabs>
          <w:tab w:leader="none" w:pos="3121"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all or substantially all, as determined by the Board, of the consolidated assets of the Company and its Subsidiaries;</w:t>
      </w:r>
    </w:p>
    <w:p>
      <w:pPr>
        <w:spacing w:after="0" w:line="158" w:lineRule="exact"/>
        <w:rPr>
          <w:rFonts w:ascii="Times New Roman" w:cs="Times New Roman" w:eastAsia="Times New Roman" w:hAnsi="Times New Roman"/>
          <w:sz w:val="22"/>
          <w:szCs w:val="22"/>
          <w:b w:val="1"/>
          <w:bCs w:val="1"/>
          <w:color w:val="auto"/>
        </w:rPr>
      </w:pPr>
    </w:p>
    <w:p>
      <w:pPr>
        <w:ind w:left="3100" w:hanging="431"/>
        <w:spacing w:after="0"/>
        <w:tabs>
          <w:tab w:leader="none" w:pos="3100" w:val="left"/>
        </w:tabs>
        <w:numPr>
          <w:ilvl w:val="1"/>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sale or other disposition of at least 50% of the outstanding securities of the</w:t>
      </w:r>
    </w:p>
    <w:p>
      <w:pPr>
        <w:spacing w:after="0" w:line="25" w:lineRule="exact"/>
        <w:rPr>
          <w:rFonts w:ascii="Times New Roman" w:cs="Times New Roman" w:eastAsia="Times New Roman" w:hAnsi="Times New Roman"/>
          <w:sz w:val="21"/>
          <w:szCs w:val="21"/>
          <w:b w:val="1"/>
          <w:bCs w:val="1"/>
          <w:color w:val="auto"/>
        </w:rPr>
      </w:pPr>
    </w:p>
    <w:p>
      <w:pPr>
        <w:ind w:left="138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1"/>
          <w:szCs w:val="21"/>
          <w:b w:val="1"/>
          <w:bCs w:val="1"/>
          <w:color w:val="auto"/>
        </w:rPr>
      </w:pPr>
    </w:p>
    <w:p>
      <w:pPr>
        <w:ind w:left="1380" w:right="299" w:firstLine="1289"/>
        <w:spacing w:after="0" w:line="258" w:lineRule="auto"/>
        <w:tabs>
          <w:tab w:leader="none" w:pos="3108"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not the surviving corporation; or</w:t>
      </w:r>
    </w:p>
    <w:p>
      <w:pPr>
        <w:spacing w:after="0" w:line="158" w:lineRule="exact"/>
        <w:rPr>
          <w:rFonts w:ascii="Times New Roman" w:cs="Times New Roman" w:eastAsia="Times New Roman" w:hAnsi="Times New Roman"/>
          <w:sz w:val="22"/>
          <w:szCs w:val="22"/>
          <w:b w:val="1"/>
          <w:bCs w:val="1"/>
          <w:color w:val="auto"/>
        </w:rPr>
      </w:pPr>
    </w:p>
    <w:p>
      <w:pPr>
        <w:jc w:val="both"/>
        <w:ind w:left="1380" w:right="299" w:firstLine="1289"/>
        <w:spacing w:after="0" w:line="238" w:lineRule="auto"/>
        <w:tabs>
          <w:tab w:leader="none" w:pos="3108"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0" w:lineRule="exact"/>
        <w:rPr>
          <w:rFonts w:ascii="Times New Roman" w:cs="Times New Roman" w:eastAsia="Times New Roman" w:hAnsi="Times New Roman"/>
          <w:sz w:val="22"/>
          <w:szCs w:val="22"/>
          <w:b w:val="1"/>
          <w:bCs w:val="1"/>
          <w:color w:val="auto"/>
        </w:rPr>
      </w:pPr>
    </w:p>
    <w:p>
      <w:pPr>
        <w:ind w:left="2380" w:hanging="440"/>
        <w:spacing w:after="0"/>
        <w:tabs>
          <w:tab w:leader="none" w:pos="238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00" w:right="299" w:firstLine="640"/>
        <w:spacing w:after="0" w:line="264" w:lineRule="auto"/>
        <w:tabs>
          <w:tab w:leader="none" w:pos="2393"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determine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determined</w:t>
      </w:r>
      <w:r>
        <w:rPr>
          <w:rFonts w:ascii="Times New Roman" w:cs="Times New Roman" w:eastAsia="Times New Roman" w:hAnsi="Times New Roman"/>
          <w:sz w:val="22"/>
          <w:szCs w:val="22"/>
          <w:color w:val="auto"/>
        </w:rPr>
        <w:t>” means as determined by the Board or the Committee (or its designee) in its sole discretion.</w:t>
      </w:r>
    </w:p>
    <w:p>
      <w:pPr>
        <w:spacing w:after="0" w:line="145" w:lineRule="exact"/>
        <w:rPr>
          <w:rFonts w:ascii="Times New Roman" w:cs="Times New Roman" w:eastAsia="Times New Roman" w:hAnsi="Times New Roman"/>
          <w:sz w:val="22"/>
          <w:szCs w:val="22"/>
          <w:b w:val="1"/>
          <w:bCs w:val="1"/>
          <w:color w:val="auto"/>
        </w:rPr>
      </w:pPr>
    </w:p>
    <w:p>
      <w:pPr>
        <w:jc w:val="both"/>
        <w:ind w:left="1300" w:right="319" w:firstLine="640"/>
        <w:spacing w:after="0" w:line="248" w:lineRule="auto"/>
        <w:tabs>
          <w:tab w:leader="none" w:pos="2420" w:val="left"/>
        </w:tabs>
        <w:numPr>
          <w:ilvl w:val="1"/>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w:t>
      </w:r>
    </w:p>
    <w:p>
      <w:pPr>
        <w:spacing w:after="0" w:line="3" w:lineRule="exact"/>
        <w:rPr>
          <w:rFonts w:ascii="Times New Roman" w:cs="Times New Roman" w:eastAsia="Times New Roman" w:hAnsi="Times New Roman"/>
          <w:sz w:val="21"/>
          <w:szCs w:val="21"/>
          <w:b w:val="1"/>
          <w:bCs w:val="1"/>
          <w:color w:val="auto"/>
        </w:rPr>
      </w:pPr>
    </w:p>
    <w:p>
      <w:pPr>
        <w:ind w:left="1300" w:right="319" w:hanging="8"/>
        <w:spacing w:after="0" w:line="237" w:lineRule="auto"/>
        <w:tabs>
          <w:tab w:leader="none" w:pos="162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and will be determined by the Board on the basis of such medical evidence as the Board deems warranted under the circumstances.</w:t>
      </w:r>
    </w:p>
    <w:p>
      <w:pPr>
        <w:spacing w:after="0" w:line="172" w:lineRule="exact"/>
        <w:rPr>
          <w:rFonts w:ascii="Times New Roman" w:cs="Times New Roman" w:eastAsia="Times New Roman" w:hAnsi="Times New Roman"/>
          <w:sz w:val="22"/>
          <w:szCs w:val="22"/>
          <w:color w:val="auto"/>
        </w:rPr>
      </w:pPr>
    </w:p>
    <w:p>
      <w:pPr>
        <w:jc w:val="both"/>
        <w:ind w:left="1300" w:right="299" w:firstLine="640"/>
        <w:spacing w:after="0" w:line="247" w:lineRule="auto"/>
        <w:tabs>
          <w:tab w:leader="none" w:pos="242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means the date this Plan, as amended and restated hereby, is approved by the Company’s stockholders at the Company’s 2026 Annual Meeting of Stockholders.</w:t>
      </w:r>
    </w:p>
    <w:p>
      <w:pPr>
        <w:spacing w:after="0" w:line="163" w:lineRule="exact"/>
        <w:rPr>
          <w:rFonts w:ascii="Times New Roman" w:cs="Times New Roman" w:eastAsia="Times New Roman" w:hAnsi="Times New Roman"/>
          <w:sz w:val="22"/>
          <w:szCs w:val="22"/>
          <w:b w:val="1"/>
          <w:bCs w:val="1"/>
          <w:color w:val="auto"/>
        </w:rPr>
      </w:pPr>
    </w:p>
    <w:p>
      <w:pPr>
        <w:jc w:val="both"/>
        <w:ind w:left="1300" w:right="299" w:firstLine="640"/>
        <w:spacing w:after="0" w:line="247" w:lineRule="auto"/>
        <w:tabs>
          <w:tab w:leader="none" w:pos="238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means any person employed by the Company or an Affiliate. However, service solely as a Director, or payment of a fee for such services, will not cause a Director to be considered an “Employee” for purposes of the Plan.</w:t>
      </w:r>
    </w:p>
    <w:p>
      <w:pPr>
        <w:spacing w:after="0" w:line="163" w:lineRule="exact"/>
        <w:rPr>
          <w:rFonts w:ascii="Times New Roman" w:cs="Times New Roman" w:eastAsia="Times New Roman" w:hAnsi="Times New Roman"/>
          <w:sz w:val="22"/>
          <w:szCs w:val="22"/>
          <w:b w:val="1"/>
          <w:bCs w:val="1"/>
          <w:color w:val="auto"/>
        </w:rPr>
      </w:pPr>
    </w:p>
    <w:p>
      <w:pPr>
        <w:ind w:left="2380" w:hanging="440"/>
        <w:spacing w:after="0"/>
        <w:tabs>
          <w:tab w:leader="none" w:pos="238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Employer</w:t>
      </w:r>
      <w:r>
        <w:rPr>
          <w:rFonts w:ascii="Times New Roman" w:cs="Times New Roman" w:eastAsia="Times New Roman" w:hAnsi="Times New Roman"/>
          <w:sz w:val="22"/>
          <w:szCs w:val="22"/>
          <w:color w:val="auto"/>
        </w:rPr>
        <w:t>” means the Company or the Affiliate of the Company that employs the</w:t>
      </w:r>
    </w:p>
    <w:p>
      <w:pPr>
        <w:spacing w:after="0" w:line="20" w:lineRule="exact"/>
        <w:rPr>
          <w:rFonts w:ascii="Times New Roman" w:cs="Times New Roman" w:eastAsia="Times New Roman" w:hAnsi="Times New Roman"/>
          <w:sz w:val="22"/>
          <w:szCs w:val="22"/>
          <w:b w:val="1"/>
          <w:bCs w:val="1"/>
          <w:color w:val="auto"/>
        </w:rPr>
      </w:pPr>
    </w:p>
    <w:p>
      <w:pPr>
        <w:ind w:left="13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Participant.</w:t>
      </w:r>
    </w:p>
    <w:p>
      <w:pPr>
        <w:spacing w:after="0" w:line="176" w:lineRule="exact"/>
        <w:rPr>
          <w:rFonts w:ascii="Times New Roman" w:cs="Times New Roman" w:eastAsia="Times New Roman" w:hAnsi="Times New Roman"/>
          <w:sz w:val="22"/>
          <w:szCs w:val="22"/>
          <w:b w:val="1"/>
          <w:bCs w:val="1"/>
          <w:color w:val="auto"/>
        </w:rPr>
      </w:pPr>
    </w:p>
    <w:p>
      <w:pPr>
        <w:ind w:left="2380" w:hanging="440"/>
        <w:spacing w:after="0"/>
        <w:tabs>
          <w:tab w:leader="none" w:pos="2380" w:val="left"/>
        </w:tabs>
        <w:numPr>
          <w:ilvl w:val="1"/>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Entity</w:t>
      </w:r>
      <w:r>
        <w:rPr>
          <w:rFonts w:ascii="Times New Roman" w:cs="Times New Roman" w:eastAsia="Times New Roman" w:hAnsi="Times New Roman"/>
          <w:sz w:val="21"/>
          <w:szCs w:val="21"/>
          <w:color w:val="auto"/>
        </w:rPr>
        <w:t>” means a corporation, partnership, limited liability company or other entity.</w:t>
      </w:r>
    </w:p>
    <w:p>
      <w:pPr>
        <w:spacing w:after="0" w:line="217" w:lineRule="exact"/>
        <w:rPr>
          <w:rFonts w:ascii="Times New Roman" w:cs="Times New Roman" w:eastAsia="Times New Roman" w:hAnsi="Times New Roman"/>
          <w:sz w:val="21"/>
          <w:szCs w:val="21"/>
          <w:b w:val="1"/>
          <w:bCs w:val="1"/>
          <w:color w:val="auto"/>
        </w:rPr>
      </w:pPr>
    </w:p>
    <w:p>
      <w:pPr>
        <w:ind w:left="1300" w:right="299" w:firstLine="640"/>
        <w:spacing w:after="0" w:line="264" w:lineRule="auto"/>
        <w:tabs>
          <w:tab w:leader="none" w:pos="2393"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45" w:lineRule="exact"/>
        <w:rPr>
          <w:sz w:val="20"/>
          <w:szCs w:val="20"/>
          <w:color w:val="auto"/>
        </w:rPr>
      </w:pPr>
    </w:p>
    <w:p>
      <w:pPr>
        <w:jc w:val="both"/>
        <w:ind w:left="1300" w:right="299" w:firstLine="640"/>
        <w:spacing w:after="0" w:line="247" w:lineRule="auto"/>
        <w:tabs>
          <w:tab w:leader="none" w:pos="2407" w:val="left"/>
        </w:tabs>
        <w:numPr>
          <w:ilvl w:val="1"/>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 Person</w:t>
      </w:r>
      <w:r>
        <w:rPr>
          <w:rFonts w:ascii="Times New Roman" w:cs="Times New Roman" w:eastAsia="Times New Roman" w:hAnsi="Times New Roman"/>
          <w:sz w:val="21"/>
          <w:szCs w:val="21"/>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2" w:lineRule="exact"/>
        <w:rPr>
          <w:rFonts w:ascii="Times New Roman" w:cs="Times New Roman" w:eastAsia="Times New Roman" w:hAnsi="Times New Roman"/>
          <w:sz w:val="21"/>
          <w:szCs w:val="21"/>
          <w:b w:val="1"/>
          <w:bCs w:val="1"/>
          <w:color w:val="auto"/>
        </w:rPr>
      </w:pPr>
    </w:p>
    <w:p>
      <w:pPr>
        <w:jc w:val="both"/>
        <w:ind w:left="1300" w:right="299" w:hanging="8"/>
        <w:spacing w:after="0" w:line="232" w:lineRule="auto"/>
        <w:tabs>
          <w:tab w:leader="none" w:pos="16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Original Effective Date, is the Owner, directly or indirectly, of securities of the Company representing more than 50% of the combined voting power of the Company’s then outstanding securities.</w:t>
      </w:r>
    </w:p>
    <w:p>
      <w:pPr>
        <w:spacing w:after="0" w:line="175" w:lineRule="exact"/>
        <w:rPr>
          <w:rFonts w:ascii="Times New Roman" w:cs="Times New Roman" w:eastAsia="Times New Roman" w:hAnsi="Times New Roman"/>
          <w:sz w:val="22"/>
          <w:szCs w:val="22"/>
          <w:color w:val="auto"/>
        </w:rPr>
      </w:pPr>
    </w:p>
    <w:p>
      <w:pPr>
        <w:jc w:val="both"/>
        <w:ind w:left="1300" w:right="299" w:firstLine="640"/>
        <w:spacing w:after="0" w:line="247" w:lineRule="auto"/>
        <w:tabs>
          <w:tab w:leader="none" w:pos="2407" w:val="left"/>
        </w:tabs>
        <w:numPr>
          <w:ilvl w:val="1"/>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as of any date, unless otherwise determined by the Board, the value of the Common Stock (as determined on a per share or aggregate basis, as applicable) determined as follows:</w:t>
      </w:r>
    </w:p>
    <w:p>
      <w:pPr>
        <w:spacing w:after="0" w:line="169" w:lineRule="exact"/>
        <w:rPr>
          <w:rFonts w:ascii="Times New Roman" w:cs="Times New Roman" w:eastAsia="Times New Roman" w:hAnsi="Times New Roman"/>
          <w:sz w:val="22"/>
          <w:szCs w:val="22"/>
          <w:b w:val="1"/>
          <w:bCs w:val="1"/>
          <w:color w:val="auto"/>
        </w:rPr>
      </w:pPr>
    </w:p>
    <w:p>
      <w:pPr>
        <w:jc w:val="both"/>
        <w:ind w:left="1380" w:right="299" w:firstLine="1289"/>
        <w:spacing w:after="0" w:line="238" w:lineRule="auto"/>
        <w:tabs>
          <w:tab w:leader="none" w:pos="3108" w:val="left"/>
        </w:tabs>
        <w:numPr>
          <w:ilvl w:val="2"/>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3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80" w:right="319" w:firstLine="1289"/>
        <w:spacing w:after="0" w:line="244" w:lineRule="auto"/>
        <w:tabs>
          <w:tab w:leader="none" w:pos="3148"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there is no closing sales price for the Common Stock on the date of determination, then the Fair Market Value will be the closing selling price on the last preceding date for which such quotation exists.</w:t>
      </w:r>
    </w:p>
    <w:p>
      <w:pPr>
        <w:spacing w:after="0" w:line="173" w:lineRule="exact"/>
        <w:rPr>
          <w:rFonts w:ascii="Times New Roman" w:cs="Times New Roman" w:eastAsia="Times New Roman" w:hAnsi="Times New Roman"/>
          <w:sz w:val="22"/>
          <w:szCs w:val="22"/>
          <w:b w:val="1"/>
          <w:bCs w:val="1"/>
          <w:color w:val="auto"/>
        </w:rPr>
      </w:pPr>
    </w:p>
    <w:p>
      <w:pPr>
        <w:jc w:val="both"/>
        <w:ind w:left="1380" w:right="299" w:firstLine="1289"/>
        <w:spacing w:after="0" w:line="244" w:lineRule="auto"/>
        <w:tabs>
          <w:tab w:leader="none" w:pos="3148"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67" w:lineRule="exact"/>
        <w:rPr>
          <w:rFonts w:ascii="Times New Roman" w:cs="Times New Roman" w:eastAsia="Times New Roman" w:hAnsi="Times New Roman"/>
          <w:sz w:val="22"/>
          <w:szCs w:val="22"/>
          <w:b w:val="1"/>
          <w:bCs w:val="1"/>
          <w:color w:val="auto"/>
        </w:rPr>
      </w:pPr>
    </w:p>
    <w:p>
      <w:pPr>
        <w:jc w:val="both"/>
        <w:ind w:left="1300" w:right="299" w:firstLine="640"/>
        <w:spacing w:after="0" w:line="245" w:lineRule="auto"/>
        <w:tabs>
          <w:tab w:leader="none" w:pos="2434" w:val="left"/>
        </w:tabs>
        <w:numPr>
          <w:ilvl w:val="1"/>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Governmental Body</w:t>
      </w:r>
      <w:r>
        <w:rPr>
          <w:rFonts w:ascii="Times New Roman" w:cs="Times New Roman" w:eastAsia="Times New Roman" w:hAnsi="Times New Roman"/>
          <w:sz w:val="21"/>
          <w:szCs w:val="21"/>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w:t>
      </w:r>
    </w:p>
    <w:p>
      <w:pPr>
        <w:spacing w:after="0" w:line="5" w:lineRule="exact"/>
        <w:rPr>
          <w:rFonts w:ascii="Times New Roman" w:cs="Times New Roman" w:eastAsia="Times New Roman" w:hAnsi="Times New Roman"/>
          <w:sz w:val="21"/>
          <w:szCs w:val="21"/>
          <w:b w:val="1"/>
          <w:bCs w:val="1"/>
          <w:color w:val="auto"/>
        </w:rPr>
      </w:pPr>
    </w:p>
    <w:p>
      <w:pPr>
        <w:ind w:left="1300" w:right="319" w:hanging="8"/>
        <w:spacing w:after="0" w:line="237" w:lineRule="auto"/>
        <w:tabs>
          <w:tab w:leader="none" w:pos="160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self-regulatory organization (including the Nasdaq Stock Market, New York Stock Exchange, and the Financial Industry Regulatory Authority).</w:t>
      </w:r>
    </w:p>
    <w:p>
      <w:pPr>
        <w:spacing w:after="0" w:line="172" w:lineRule="exact"/>
        <w:rPr>
          <w:rFonts w:ascii="Times New Roman" w:cs="Times New Roman" w:eastAsia="Times New Roman" w:hAnsi="Times New Roman"/>
          <w:sz w:val="22"/>
          <w:szCs w:val="22"/>
          <w:color w:val="auto"/>
        </w:rPr>
      </w:pPr>
    </w:p>
    <w:p>
      <w:pPr>
        <w:jc w:val="both"/>
        <w:ind w:left="1300" w:right="299" w:firstLine="640"/>
        <w:spacing w:after="0" w:line="239" w:lineRule="auto"/>
        <w:tabs>
          <w:tab w:leader="none" w:pos="2393"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1" w:lineRule="exact"/>
        <w:rPr>
          <w:rFonts w:ascii="Times New Roman" w:cs="Times New Roman" w:eastAsia="Times New Roman" w:hAnsi="Times New Roman"/>
          <w:sz w:val="22"/>
          <w:szCs w:val="22"/>
          <w:b w:val="1"/>
          <w:bCs w:val="1"/>
          <w:color w:val="auto"/>
        </w:rPr>
      </w:pPr>
    </w:p>
    <w:p>
      <w:pPr>
        <w:jc w:val="both"/>
        <w:ind w:left="1300" w:right="299" w:firstLine="640"/>
        <w:spacing w:after="0" w:line="247" w:lineRule="auto"/>
        <w:tabs>
          <w:tab w:leader="none" w:pos="2380"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Stock Option</w:t>
      </w:r>
      <w:r>
        <w:rPr>
          <w:rFonts w:ascii="Times New Roman" w:cs="Times New Roman" w:eastAsia="Times New Roman" w:hAnsi="Times New Roman"/>
          <w:sz w:val="22"/>
          <w:szCs w:val="22"/>
          <w:color w:val="auto"/>
        </w:rPr>
        <w:t>” means an option granted pursuant to Section 4 of the Plan that is intended to be, and qualifies as, an “incentive stock option” within the meaning of Section 422 of the Code.</w:t>
      </w:r>
    </w:p>
    <w:p>
      <w:pPr>
        <w:spacing w:after="0" w:line="163" w:lineRule="exact"/>
        <w:rPr>
          <w:rFonts w:ascii="Times New Roman" w:cs="Times New Roman" w:eastAsia="Times New Roman" w:hAnsi="Times New Roman"/>
          <w:sz w:val="22"/>
          <w:szCs w:val="22"/>
          <w:b w:val="1"/>
          <w:bCs w:val="1"/>
          <w:color w:val="auto"/>
        </w:rPr>
      </w:pPr>
    </w:p>
    <w:p>
      <w:pPr>
        <w:ind w:left="2380" w:hanging="440"/>
        <w:spacing w:after="0"/>
        <w:tabs>
          <w:tab w:leader="none" w:pos="2380"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IPO Date</w:t>
      </w:r>
      <w:r>
        <w:rPr>
          <w:rFonts w:ascii="Times New Roman" w:cs="Times New Roman" w:eastAsia="Times New Roman" w:hAnsi="Times New Roman"/>
          <w:sz w:val="22"/>
          <w:szCs w:val="22"/>
          <w:color w:val="auto"/>
        </w:rPr>
        <w:t>” means February 5, 2021.</w:t>
      </w:r>
    </w:p>
    <w:p>
      <w:pPr>
        <w:spacing w:after="0" w:line="206" w:lineRule="exact"/>
        <w:rPr>
          <w:rFonts w:ascii="Times New Roman" w:cs="Times New Roman" w:eastAsia="Times New Roman" w:hAnsi="Times New Roman"/>
          <w:sz w:val="22"/>
          <w:szCs w:val="22"/>
          <w:b w:val="1"/>
          <w:bCs w:val="1"/>
          <w:color w:val="auto"/>
        </w:rPr>
      </w:pPr>
    </w:p>
    <w:p>
      <w:pPr>
        <w:jc w:val="both"/>
        <w:ind w:left="1300" w:right="299" w:firstLine="640"/>
        <w:spacing w:after="0" w:line="233" w:lineRule="auto"/>
        <w:tabs>
          <w:tab w:leader="none" w:pos="2447"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Materially Impair</w:t>
      </w:r>
      <w:r>
        <w:rPr>
          <w:rFonts w:ascii="Times New Roman" w:cs="Times New Roman" w:eastAsia="Times New Roman" w:hAnsi="Times New Roman"/>
          <w:sz w:val="22"/>
          <w:szCs w:val="22"/>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2" w:lineRule="exact"/>
        <w:rPr>
          <w:rFonts w:ascii="Times New Roman" w:cs="Times New Roman" w:eastAsia="Times New Roman" w:hAnsi="Times New Roman"/>
          <w:sz w:val="22"/>
          <w:szCs w:val="22"/>
          <w:b w:val="1"/>
          <w:bCs w:val="1"/>
          <w:color w:val="auto"/>
        </w:rPr>
      </w:pPr>
    </w:p>
    <w:p>
      <w:pPr>
        <w:jc w:val="both"/>
        <w:ind w:left="1300" w:right="319" w:firstLine="640"/>
        <w:spacing w:after="0" w:line="264" w:lineRule="auto"/>
        <w:tabs>
          <w:tab w:leader="none" w:pos="2380" w:val="left"/>
        </w:tabs>
        <w:numPr>
          <w:ilvl w:val="1"/>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Non-Employee Director</w:t>
      </w:r>
      <w:r>
        <w:rPr>
          <w:rFonts w:ascii="Times New Roman" w:cs="Times New Roman" w:eastAsia="Times New Roman" w:hAnsi="Times New Roman"/>
          <w:sz w:val="21"/>
          <w:szCs w:val="21"/>
          <w:color w:val="auto"/>
        </w:rPr>
        <w:t>” means a Director who either (i) is not a current employee or officer of the Company or an Affiliate, does not receive compensation, either directly or indirectly, from the Company or an Affiliate for services rendered as a consultant or in any</w:t>
      </w:r>
    </w:p>
    <w:p>
      <w:pPr>
        <w:spacing w:after="0" w:line="200" w:lineRule="exact"/>
        <w:rPr>
          <w:sz w:val="20"/>
          <w:szCs w:val="20"/>
          <w:color w:val="auto"/>
        </w:rPr>
      </w:pPr>
    </w:p>
    <w:p>
      <w:pPr>
        <w:spacing w:after="0" w:line="3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00" w:right="299"/>
        <w:spacing w:after="0" w:line="236" w:lineRule="auto"/>
        <w:rPr>
          <w:sz w:val="20"/>
          <w:szCs w:val="20"/>
          <w:color w:val="auto"/>
        </w:rPr>
      </w:pPr>
      <w:r>
        <w:rPr>
          <w:rFonts w:ascii="Times New Roman" w:cs="Times New Roman" w:eastAsia="Times New Roman" w:hAnsi="Times New Roman"/>
          <w:sz w:val="22"/>
          <w:szCs w:val="22"/>
          <w:color w:val="auto"/>
        </w:rPr>
        <w:t>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2"/>
          <w:szCs w:val="22"/>
          <w:b w:val="1"/>
          <w:bCs w:val="1"/>
          <w:i w:val="1"/>
          <w:iCs w:val="1"/>
          <w:color w:val="auto"/>
        </w:rPr>
        <w:t>Regulation S-K</w:t>
      </w:r>
      <w:r>
        <w:rPr>
          <w:rFonts w:ascii="Times New Roman" w:cs="Times New Roman" w:eastAsia="Times New Roman" w:hAnsi="Times New Roman"/>
          <w:sz w:val="22"/>
          <w:szCs w:val="22"/>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5" w:lineRule="exact"/>
        <w:rPr>
          <w:sz w:val="20"/>
          <w:szCs w:val="20"/>
          <w:color w:val="auto"/>
        </w:rPr>
      </w:pPr>
    </w:p>
    <w:p>
      <w:pPr>
        <w:jc w:val="both"/>
        <w:ind w:left="1300" w:right="299" w:firstLine="640"/>
        <w:spacing w:after="0" w:line="241" w:lineRule="auto"/>
        <w:tabs>
          <w:tab w:leader="none" w:pos="2393"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Non-Exempt Award</w:t>
      </w:r>
      <w:r>
        <w:rPr>
          <w:rFonts w:ascii="Times New Roman" w:cs="Times New Roman" w:eastAsia="Times New Roman" w:hAnsi="Times New Roman"/>
          <w:sz w:val="22"/>
          <w:szCs w:val="22"/>
          <w:color w:val="auto"/>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spacing w:after="0" w:line="171" w:lineRule="exact"/>
        <w:rPr>
          <w:rFonts w:ascii="Times New Roman" w:cs="Times New Roman" w:eastAsia="Times New Roman" w:hAnsi="Times New Roman"/>
          <w:sz w:val="22"/>
          <w:szCs w:val="22"/>
          <w:b w:val="1"/>
          <w:bCs w:val="1"/>
          <w:color w:val="auto"/>
        </w:rPr>
      </w:pPr>
    </w:p>
    <w:p>
      <w:pPr>
        <w:ind w:left="1300" w:right="299" w:firstLine="640"/>
        <w:spacing w:after="0" w:line="264" w:lineRule="auto"/>
        <w:tabs>
          <w:tab w:leader="none" w:pos="2461"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Non-Exempt Director Award</w:t>
      </w:r>
      <w:r>
        <w:rPr>
          <w:rFonts w:ascii="Times New Roman" w:cs="Times New Roman" w:eastAsia="Times New Roman" w:hAnsi="Times New Roman"/>
          <w:sz w:val="22"/>
          <w:szCs w:val="22"/>
          <w:color w:val="auto"/>
        </w:rPr>
        <w:t>” means a Non-Exempt Award granted to a Participant who was a Director but not an Employee on the applicable grant date.</w:t>
      </w:r>
    </w:p>
    <w:p>
      <w:pPr>
        <w:spacing w:after="0" w:line="145" w:lineRule="exact"/>
        <w:rPr>
          <w:rFonts w:ascii="Times New Roman" w:cs="Times New Roman" w:eastAsia="Times New Roman" w:hAnsi="Times New Roman"/>
          <w:sz w:val="22"/>
          <w:szCs w:val="22"/>
          <w:b w:val="1"/>
          <w:bCs w:val="1"/>
          <w:color w:val="auto"/>
        </w:rPr>
      </w:pPr>
    </w:p>
    <w:p>
      <w:pPr>
        <w:jc w:val="both"/>
        <w:ind w:left="1300" w:right="299" w:firstLine="640"/>
        <w:spacing w:after="0" w:line="235" w:lineRule="auto"/>
        <w:tabs>
          <w:tab w:leader="none" w:pos="2407"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Non-Exempt Severance Arrangement</w:t>
      </w:r>
      <w:r>
        <w:rPr>
          <w:rFonts w:ascii="Times New Roman" w:cs="Times New Roman" w:eastAsia="Times New Roman" w:hAnsi="Times New Roman"/>
          <w:sz w:val="22"/>
          <w:szCs w:val="22"/>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22"/>
          <w:szCs w:val="22"/>
          <w:b w:val="1"/>
          <w:bCs w:val="1"/>
          <w:i w:val="1"/>
          <w:iCs w:val="1"/>
          <w:color w:val="auto"/>
        </w:rPr>
        <w:t>Separation 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Service</w:t>
      </w:r>
      <w:r>
        <w:rPr>
          <w:rFonts w:ascii="Times New Roman" w:cs="Times New Roman" w:eastAsia="Times New Roman" w:hAnsi="Times New Roman"/>
          <w:sz w:val="22"/>
          <w:szCs w:val="22"/>
          <w:color w:val="auto"/>
        </w:rPr>
        <w:t>”) and such severance benefit does not satisfy the requirements for an exemption from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application of Section 409A provided under Treasury Regulations Section 1.409A-1(b)(4), 1.409A-1(b)(9) or otherwise.</w:t>
      </w:r>
    </w:p>
    <w:p>
      <w:pPr>
        <w:spacing w:after="0" w:line="178" w:lineRule="exact"/>
        <w:rPr>
          <w:rFonts w:ascii="Times New Roman" w:cs="Times New Roman" w:eastAsia="Times New Roman" w:hAnsi="Times New Roman"/>
          <w:sz w:val="22"/>
          <w:szCs w:val="22"/>
          <w:b w:val="1"/>
          <w:bCs w:val="1"/>
          <w:color w:val="auto"/>
        </w:rPr>
      </w:pPr>
    </w:p>
    <w:p>
      <w:pPr>
        <w:ind w:left="1300" w:right="319" w:firstLine="640"/>
        <w:spacing w:after="0" w:line="264" w:lineRule="auto"/>
        <w:tabs>
          <w:tab w:leader="none" w:pos="238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Nonstatutory Stock Option</w:t>
      </w:r>
      <w:r>
        <w:rPr>
          <w:rFonts w:ascii="Times New Roman" w:cs="Times New Roman" w:eastAsia="Times New Roman" w:hAnsi="Times New Roman"/>
          <w:sz w:val="22"/>
          <w:szCs w:val="22"/>
          <w:color w:val="auto"/>
        </w:rPr>
        <w:t>” means any option granted pursuant to Section 4 of the Plan that does not qualify as an Incentive Stock Option.</w:t>
      </w:r>
    </w:p>
    <w:p>
      <w:pPr>
        <w:spacing w:after="0" w:line="145" w:lineRule="exact"/>
        <w:rPr>
          <w:rFonts w:ascii="Times New Roman" w:cs="Times New Roman" w:eastAsia="Times New Roman" w:hAnsi="Times New Roman"/>
          <w:sz w:val="22"/>
          <w:szCs w:val="22"/>
          <w:b w:val="1"/>
          <w:bCs w:val="1"/>
          <w:color w:val="auto"/>
        </w:rPr>
      </w:pPr>
    </w:p>
    <w:p>
      <w:pPr>
        <w:ind w:left="1300" w:right="319" w:firstLine="640"/>
        <w:spacing w:after="0" w:line="264" w:lineRule="auto"/>
        <w:tabs>
          <w:tab w:leader="none" w:pos="2812"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w:t>
      </w:r>
    </w:p>
    <w:p>
      <w:pPr>
        <w:spacing w:after="0" w:line="145" w:lineRule="exact"/>
        <w:rPr>
          <w:rFonts w:ascii="Times New Roman" w:cs="Times New Roman" w:eastAsia="Times New Roman" w:hAnsi="Times New Roman"/>
          <w:sz w:val="22"/>
          <w:szCs w:val="22"/>
          <w:b w:val="1"/>
          <w:bCs w:val="1"/>
          <w:color w:val="auto"/>
        </w:rPr>
      </w:pPr>
    </w:p>
    <w:p>
      <w:pPr>
        <w:ind w:left="1300" w:right="319" w:firstLine="640"/>
        <w:spacing w:after="0" w:line="264" w:lineRule="auto"/>
        <w:tabs>
          <w:tab w:leader="none" w:pos="24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means an Incentive Stock Option or a Nonstatutory Stock Option to purchase shares of Common Stock granted pursuant to the Plan.</w:t>
      </w:r>
    </w:p>
    <w:p>
      <w:pPr>
        <w:spacing w:after="0" w:line="145" w:lineRule="exact"/>
        <w:rPr>
          <w:rFonts w:ascii="Times New Roman" w:cs="Times New Roman" w:eastAsia="Times New Roman" w:hAnsi="Times New Roman"/>
          <w:sz w:val="22"/>
          <w:szCs w:val="22"/>
          <w:b w:val="1"/>
          <w:bCs w:val="1"/>
          <w:color w:val="auto"/>
        </w:rPr>
      </w:pPr>
    </w:p>
    <w:p>
      <w:pPr>
        <w:jc w:val="both"/>
        <w:ind w:left="1300" w:right="299" w:firstLine="640"/>
        <w:spacing w:after="0" w:line="237" w:lineRule="auto"/>
        <w:tabs>
          <w:tab w:leader="none" w:pos="24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 Agreement</w:t>
      </w:r>
      <w:r>
        <w:rPr>
          <w:rFonts w:ascii="Times New Roman" w:cs="Times New Roman" w:eastAsia="Times New Roman" w:hAnsi="Times New Roman"/>
          <w:sz w:val="22"/>
          <w:szCs w:val="22"/>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5" w:lineRule="exact"/>
        <w:rPr>
          <w:rFonts w:ascii="Times New Roman" w:cs="Times New Roman" w:eastAsia="Times New Roman" w:hAnsi="Times New Roman"/>
          <w:sz w:val="22"/>
          <w:szCs w:val="22"/>
          <w:b w:val="1"/>
          <w:bCs w:val="1"/>
          <w:color w:val="auto"/>
        </w:rPr>
      </w:pPr>
    </w:p>
    <w:p>
      <w:pPr>
        <w:ind w:left="1300" w:right="319" w:firstLine="640"/>
        <w:spacing w:after="0" w:line="264" w:lineRule="auto"/>
        <w:tabs>
          <w:tab w:leader="none" w:pos="238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Optionholder</w:t>
      </w:r>
      <w:r>
        <w:rPr>
          <w:rFonts w:ascii="Times New Roman" w:cs="Times New Roman" w:eastAsia="Times New Roman" w:hAnsi="Times New Roman"/>
          <w:sz w:val="22"/>
          <w:szCs w:val="22"/>
          <w:color w:val="auto"/>
        </w:rPr>
        <w:t>” means a person to whom an Option is granted pursuant to the Plan or, if applicable, such other person who holds an outstanding Option.</w:t>
      </w:r>
    </w:p>
    <w:p>
      <w:pPr>
        <w:spacing w:after="0" w:line="145" w:lineRule="exact"/>
        <w:rPr>
          <w:rFonts w:ascii="Times New Roman" w:cs="Times New Roman" w:eastAsia="Times New Roman" w:hAnsi="Times New Roman"/>
          <w:sz w:val="22"/>
          <w:szCs w:val="22"/>
          <w:b w:val="1"/>
          <w:bCs w:val="1"/>
          <w:color w:val="auto"/>
        </w:rPr>
      </w:pPr>
    </w:p>
    <w:p>
      <w:pPr>
        <w:ind w:left="2380" w:hanging="440"/>
        <w:spacing w:after="0"/>
        <w:tabs>
          <w:tab w:leader="none" w:pos="238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Original Effective Date</w:t>
      </w:r>
      <w:r>
        <w:rPr>
          <w:rFonts w:ascii="Times New Roman" w:cs="Times New Roman" w:eastAsia="Times New Roman" w:hAnsi="Times New Roman"/>
          <w:sz w:val="22"/>
          <w:szCs w:val="22"/>
          <w:color w:val="auto"/>
        </w:rPr>
        <w:t>” means the IPO Date.</w:t>
      </w:r>
    </w:p>
    <w:p>
      <w:pPr>
        <w:spacing w:after="0" w:line="206" w:lineRule="exact"/>
        <w:rPr>
          <w:rFonts w:ascii="Times New Roman" w:cs="Times New Roman" w:eastAsia="Times New Roman" w:hAnsi="Times New Roman"/>
          <w:sz w:val="22"/>
          <w:szCs w:val="22"/>
          <w:b w:val="1"/>
          <w:bCs w:val="1"/>
          <w:color w:val="auto"/>
        </w:rPr>
      </w:pPr>
    </w:p>
    <w:p>
      <w:pPr>
        <w:ind w:left="1300" w:right="319" w:firstLine="640"/>
        <w:spacing w:after="0" w:line="264" w:lineRule="auto"/>
        <w:tabs>
          <w:tab w:leader="none" w:pos="24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Award</w:t>
      </w:r>
      <w:r>
        <w:rPr>
          <w:rFonts w:ascii="Times New Roman" w:cs="Times New Roman" w:eastAsia="Times New Roman" w:hAnsi="Times New Roman"/>
          <w:sz w:val="22"/>
          <w:szCs w:val="22"/>
          <w:color w:val="auto"/>
        </w:rPr>
        <w:t>” means an award based in whole or in part by reference to the Common Stock which is granted pursuant to the terms and conditions of Section 5(c).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300" w:right="299" w:firstLine="640"/>
        <w:spacing w:after="0" w:line="247" w:lineRule="auto"/>
        <w:tabs>
          <w:tab w:leader="none" w:pos="23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Award Agreement</w:t>
      </w:r>
      <w:r>
        <w:rPr>
          <w:rFonts w:ascii="Times New Roman" w:cs="Times New Roman" w:eastAsia="Times New Roman" w:hAnsi="Times New Roman"/>
          <w:sz w:val="22"/>
          <w:szCs w:val="22"/>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63" w:lineRule="exact"/>
        <w:rPr>
          <w:rFonts w:ascii="Times New Roman" w:cs="Times New Roman" w:eastAsia="Times New Roman" w:hAnsi="Times New Roman"/>
          <w:sz w:val="22"/>
          <w:szCs w:val="22"/>
          <w:b w:val="1"/>
          <w:bCs w:val="1"/>
          <w:color w:val="auto"/>
        </w:rPr>
      </w:pPr>
    </w:p>
    <w:p>
      <w:pPr>
        <w:jc w:val="both"/>
        <w:ind w:left="1300" w:right="299" w:firstLine="640"/>
        <w:spacing w:after="0" w:line="239" w:lineRule="auto"/>
        <w:tabs>
          <w:tab w:leader="none" w:pos="2407"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Ownership</w:t>
      </w:r>
      <w:r>
        <w:rPr>
          <w:rFonts w:ascii="Times New Roman" w:cs="Times New Roman" w:eastAsia="Times New Roman" w:hAnsi="Times New Roman"/>
          <w:sz w:val="22"/>
          <w:szCs w:val="22"/>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1" w:lineRule="exact"/>
        <w:rPr>
          <w:rFonts w:ascii="Times New Roman" w:cs="Times New Roman" w:eastAsia="Times New Roman" w:hAnsi="Times New Roman"/>
          <w:sz w:val="22"/>
          <w:szCs w:val="22"/>
          <w:b w:val="1"/>
          <w:bCs w:val="1"/>
          <w:color w:val="auto"/>
        </w:rPr>
      </w:pPr>
    </w:p>
    <w:p>
      <w:pPr>
        <w:jc w:val="both"/>
        <w:ind w:left="1300" w:right="319" w:firstLine="640"/>
        <w:spacing w:after="0" w:line="247" w:lineRule="auto"/>
        <w:tabs>
          <w:tab w:leader="none" w:pos="2407"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an Employee, Director or Consultant to whom an Award is granted pursuant to the Plan or, if applicable, such other person who holds an outstanding Award.</w:t>
      </w:r>
    </w:p>
    <w:p>
      <w:pPr>
        <w:spacing w:after="0" w:line="163" w:lineRule="exact"/>
        <w:rPr>
          <w:rFonts w:ascii="Times New Roman" w:cs="Times New Roman" w:eastAsia="Times New Roman" w:hAnsi="Times New Roman"/>
          <w:sz w:val="22"/>
          <w:szCs w:val="22"/>
          <w:b w:val="1"/>
          <w:bCs w:val="1"/>
          <w:color w:val="auto"/>
        </w:rPr>
      </w:pPr>
    </w:p>
    <w:p>
      <w:pPr>
        <w:jc w:val="both"/>
        <w:ind w:left="1300" w:right="299" w:firstLine="640"/>
        <w:spacing w:after="0" w:line="235" w:lineRule="auto"/>
        <w:tabs>
          <w:tab w:leader="none" w:pos="23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Award</w:t>
      </w:r>
      <w:r>
        <w:rPr>
          <w:rFonts w:ascii="Times New Roman" w:cs="Times New Roman" w:eastAsia="Times New Roman" w:hAnsi="Times New Roman"/>
          <w:sz w:val="22"/>
          <w:szCs w:val="22"/>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78" w:lineRule="exact"/>
        <w:rPr>
          <w:rFonts w:ascii="Times New Roman" w:cs="Times New Roman" w:eastAsia="Times New Roman" w:hAnsi="Times New Roman"/>
          <w:sz w:val="22"/>
          <w:szCs w:val="22"/>
          <w:b w:val="1"/>
          <w:bCs w:val="1"/>
          <w:color w:val="auto"/>
        </w:rPr>
      </w:pPr>
    </w:p>
    <w:p>
      <w:pPr>
        <w:jc w:val="both"/>
        <w:ind w:left="1300" w:right="299" w:firstLine="640"/>
        <w:spacing w:after="0" w:line="241" w:lineRule="auto"/>
        <w:tabs>
          <w:tab w:leader="none" w:pos="2839"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Criteria</w:t>
      </w:r>
      <w:r>
        <w:rPr>
          <w:rFonts w:ascii="Times New Roman" w:cs="Times New Roman" w:eastAsia="Times New Roman" w:hAnsi="Times New Roman"/>
          <w:sz w:val="22"/>
          <w:szCs w:val="22"/>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71" w:lineRule="exact"/>
        <w:rPr>
          <w:rFonts w:ascii="Times New Roman" w:cs="Times New Roman" w:eastAsia="Times New Roman" w:hAnsi="Times New Roman"/>
          <w:sz w:val="22"/>
          <w:szCs w:val="22"/>
          <w:b w:val="1"/>
          <w:bCs w:val="1"/>
          <w:color w:val="auto"/>
        </w:rPr>
      </w:pPr>
    </w:p>
    <w:p>
      <w:pPr>
        <w:jc w:val="both"/>
        <w:ind w:left="1300" w:right="299" w:firstLine="640"/>
        <w:spacing w:after="0" w:line="232" w:lineRule="auto"/>
        <w:tabs>
          <w:tab w:leader="none" w:pos="242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Goals</w:t>
      </w:r>
      <w:r>
        <w:rPr>
          <w:rFonts w:ascii="Times New Roman" w:cs="Times New Roman" w:eastAsia="Times New Roman" w:hAnsi="Times New Roman"/>
          <w:sz w:val="22"/>
          <w:szCs w:val="22"/>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w:t>
      </w:r>
    </w:p>
    <w:p>
      <w:pPr>
        <w:spacing w:after="0" w:line="37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00" w:right="299"/>
        <w:spacing w:after="0" w:line="234" w:lineRule="auto"/>
        <w:rPr>
          <w:sz w:val="20"/>
          <w:szCs w:val="20"/>
          <w:color w:val="auto"/>
        </w:rPr>
      </w:pPr>
      <w:r>
        <w:rPr>
          <w:rFonts w:ascii="Times New Roman" w:cs="Times New Roman" w:eastAsia="Times New Roman" w:hAnsi="Times New Roman"/>
          <w:sz w:val="22"/>
          <w:szCs w:val="22"/>
          <w:color w:val="auto"/>
        </w:rPr>
        <w:t>compensation and the award of bonuses under the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73" w:lineRule="exact"/>
        <w:rPr>
          <w:sz w:val="20"/>
          <w:szCs w:val="20"/>
          <w:color w:val="auto"/>
        </w:rPr>
      </w:pPr>
    </w:p>
    <w:p>
      <w:pPr>
        <w:jc w:val="both"/>
        <w:ind w:left="1300" w:right="299" w:firstLine="640"/>
        <w:spacing w:after="0" w:line="241" w:lineRule="auto"/>
        <w:tabs>
          <w:tab w:leader="none" w:pos="2393"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1" w:lineRule="exact"/>
        <w:rPr>
          <w:rFonts w:ascii="Times New Roman" w:cs="Times New Roman" w:eastAsia="Times New Roman" w:hAnsi="Times New Roman"/>
          <w:sz w:val="22"/>
          <w:szCs w:val="22"/>
          <w:b w:val="1"/>
          <w:bCs w:val="1"/>
          <w:color w:val="auto"/>
        </w:rPr>
      </w:pPr>
    </w:p>
    <w:p>
      <w:pPr>
        <w:ind w:left="1300" w:right="299" w:firstLine="640"/>
        <w:spacing w:after="0" w:line="264" w:lineRule="auto"/>
        <w:tabs>
          <w:tab w:leader="none" w:pos="2447"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this Vor Biopharma Inc. Amended and Restated 2021 Equity Incentive Plan, as amended from time to time.</w:t>
      </w:r>
    </w:p>
    <w:p>
      <w:pPr>
        <w:spacing w:after="0" w:line="145" w:lineRule="exact"/>
        <w:rPr>
          <w:sz w:val="20"/>
          <w:szCs w:val="20"/>
          <w:color w:val="auto"/>
        </w:rPr>
      </w:pPr>
    </w:p>
    <w:p>
      <w:pPr>
        <w:jc w:val="both"/>
        <w:ind w:left="1300" w:right="299" w:firstLine="640"/>
        <w:spacing w:after="0" w:line="247" w:lineRule="auto"/>
        <w:tabs>
          <w:tab w:leader="none" w:pos="2933"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 Administrator</w:t>
      </w:r>
      <w:r>
        <w:rPr>
          <w:rFonts w:ascii="Times New Roman" w:cs="Times New Roman" w:eastAsia="Times New Roman" w:hAnsi="Times New Roman"/>
          <w:sz w:val="22"/>
          <w:szCs w:val="22"/>
          <w:color w:val="auto"/>
        </w:rPr>
        <w:t>” means the person, persons, and/or third-party administrator designated by the Company to administer the day to day operations of the Plan and the Company’s other equity incentive programs.</w:t>
      </w:r>
    </w:p>
    <w:p>
      <w:pPr>
        <w:spacing w:after="0" w:line="163" w:lineRule="exact"/>
        <w:rPr>
          <w:rFonts w:ascii="Times New Roman" w:cs="Times New Roman" w:eastAsia="Times New Roman" w:hAnsi="Times New Roman"/>
          <w:sz w:val="22"/>
          <w:szCs w:val="22"/>
          <w:b w:val="1"/>
          <w:bCs w:val="1"/>
          <w:color w:val="auto"/>
        </w:rPr>
      </w:pPr>
    </w:p>
    <w:p>
      <w:pPr>
        <w:jc w:val="both"/>
        <w:ind w:left="1300" w:right="299" w:firstLine="640"/>
        <w:spacing w:after="0" w:line="247" w:lineRule="auto"/>
        <w:tabs>
          <w:tab w:leader="none" w:pos="2825"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Post-Termination Exercise Period</w:t>
      </w:r>
      <w:r>
        <w:rPr>
          <w:rFonts w:ascii="Times New Roman" w:cs="Times New Roman" w:eastAsia="Times New Roman" w:hAnsi="Times New Roman"/>
          <w:sz w:val="22"/>
          <w:szCs w:val="22"/>
          <w:color w:val="auto"/>
        </w:rPr>
        <w:t>” means the period following termination of a Participant’s Continuous Service within which an Option or SAR is exercisable, as specified in Section 4(h).</w:t>
      </w:r>
    </w:p>
    <w:p>
      <w:pPr>
        <w:spacing w:after="0" w:line="163" w:lineRule="exact"/>
        <w:rPr>
          <w:rFonts w:ascii="Times New Roman" w:cs="Times New Roman" w:eastAsia="Times New Roman" w:hAnsi="Times New Roman"/>
          <w:sz w:val="22"/>
          <w:szCs w:val="22"/>
          <w:b w:val="1"/>
          <w:bCs w:val="1"/>
          <w:color w:val="auto"/>
        </w:rPr>
      </w:pPr>
    </w:p>
    <w:p>
      <w:pPr>
        <w:ind w:left="1300" w:right="299" w:firstLine="640"/>
        <w:spacing w:after="0" w:line="264" w:lineRule="auto"/>
        <w:tabs>
          <w:tab w:leader="none" w:pos="2812"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Prior Plan’s Available Reserve</w:t>
      </w:r>
      <w:r>
        <w:rPr>
          <w:rFonts w:ascii="Times New Roman" w:cs="Times New Roman" w:eastAsia="Times New Roman" w:hAnsi="Times New Roman"/>
          <w:sz w:val="22"/>
          <w:szCs w:val="22"/>
          <w:color w:val="auto"/>
        </w:rPr>
        <w:t>” means the number of shares available for the grant of new awards under the Prior Plan as of the Original Effective Date.</w:t>
      </w:r>
    </w:p>
    <w:p>
      <w:pPr>
        <w:spacing w:after="0" w:line="145" w:lineRule="exact"/>
        <w:rPr>
          <w:rFonts w:ascii="Times New Roman" w:cs="Times New Roman" w:eastAsia="Times New Roman" w:hAnsi="Times New Roman"/>
          <w:sz w:val="22"/>
          <w:szCs w:val="22"/>
          <w:b w:val="1"/>
          <w:bCs w:val="1"/>
          <w:color w:val="auto"/>
        </w:rPr>
      </w:pPr>
    </w:p>
    <w:p>
      <w:pPr>
        <w:ind w:left="2800" w:hanging="860"/>
        <w:spacing w:after="0"/>
        <w:tabs>
          <w:tab w:leader="none" w:pos="280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Prior Plan</w:t>
      </w:r>
      <w:r>
        <w:rPr>
          <w:rFonts w:ascii="Times New Roman" w:cs="Times New Roman" w:eastAsia="Times New Roman" w:hAnsi="Times New Roman"/>
          <w:sz w:val="22"/>
          <w:szCs w:val="22"/>
          <w:color w:val="auto"/>
        </w:rPr>
        <w:t>” means the Vor Biopharma Inc. 2015 Stock Incentive Plan.</w:t>
      </w:r>
    </w:p>
    <w:p>
      <w:pPr>
        <w:spacing w:after="0" w:line="206" w:lineRule="exact"/>
        <w:rPr>
          <w:rFonts w:ascii="Times New Roman" w:cs="Times New Roman" w:eastAsia="Times New Roman" w:hAnsi="Times New Roman"/>
          <w:sz w:val="22"/>
          <w:szCs w:val="22"/>
          <w:b w:val="1"/>
          <w:bCs w:val="1"/>
          <w:color w:val="auto"/>
        </w:rPr>
      </w:pPr>
    </w:p>
    <w:p>
      <w:pPr>
        <w:ind w:left="1300" w:right="299" w:firstLine="640"/>
        <w:spacing w:after="0" w:line="264" w:lineRule="auto"/>
        <w:tabs>
          <w:tab w:leader="none" w:pos="2812"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means the document containing the Plan information specified in Section 10(a) of the Securities Act.</w:t>
      </w:r>
    </w:p>
    <w:p>
      <w:pPr>
        <w:spacing w:after="0" w:line="145" w:lineRule="exact"/>
        <w:rPr>
          <w:rFonts w:ascii="Times New Roman" w:cs="Times New Roman" w:eastAsia="Times New Roman" w:hAnsi="Times New Roman"/>
          <w:sz w:val="22"/>
          <w:szCs w:val="22"/>
          <w:b w:val="1"/>
          <w:bCs w:val="1"/>
          <w:color w:val="auto"/>
        </w:rPr>
      </w:pPr>
    </w:p>
    <w:p>
      <w:pPr>
        <w:ind w:left="1300" w:right="299" w:firstLine="640"/>
        <w:spacing w:after="0" w:line="264" w:lineRule="auto"/>
        <w:tabs>
          <w:tab w:leader="none" w:pos="2393"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RSA</w:t>
      </w:r>
      <w:r>
        <w:rPr>
          <w:rFonts w:ascii="Times New Roman" w:cs="Times New Roman" w:eastAsia="Times New Roman" w:hAnsi="Times New Roman"/>
          <w:sz w:val="22"/>
          <w:szCs w:val="22"/>
          <w:color w:val="auto"/>
        </w:rPr>
        <w:t>” means an Award of shares of Common Stock which is granted pursuant to the terms and conditions of Section 5(a).</w:t>
      </w:r>
    </w:p>
    <w:p>
      <w:pPr>
        <w:spacing w:after="0" w:line="145" w:lineRule="exact"/>
        <w:rPr>
          <w:rFonts w:ascii="Times New Roman" w:cs="Times New Roman" w:eastAsia="Times New Roman" w:hAnsi="Times New Roman"/>
          <w:sz w:val="22"/>
          <w:szCs w:val="22"/>
          <w:b w:val="1"/>
          <w:bCs w:val="1"/>
          <w:color w:val="auto"/>
        </w:rPr>
      </w:pPr>
    </w:p>
    <w:p>
      <w:pPr>
        <w:jc w:val="both"/>
        <w:ind w:left="1300" w:right="299" w:firstLine="640"/>
        <w:spacing w:after="0" w:line="236" w:lineRule="auto"/>
        <w:tabs>
          <w:tab w:leader="none" w:pos="2825"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 Agreement</w:t>
      </w:r>
      <w:r>
        <w:rPr>
          <w:rFonts w:ascii="Times New Roman" w:cs="Times New Roman" w:eastAsia="Times New Roman" w:hAnsi="Times New Roman"/>
          <w:sz w:val="22"/>
          <w:szCs w:val="22"/>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75" w:lineRule="exact"/>
        <w:rPr>
          <w:rFonts w:ascii="Times New Roman" w:cs="Times New Roman" w:eastAsia="Times New Roman" w:hAnsi="Times New Roman"/>
          <w:sz w:val="22"/>
          <w:szCs w:val="22"/>
          <w:b w:val="1"/>
          <w:bCs w:val="1"/>
          <w:color w:val="auto"/>
        </w:rPr>
      </w:pPr>
    </w:p>
    <w:p>
      <w:pPr>
        <w:ind w:left="1300" w:right="319" w:firstLine="640"/>
        <w:spacing w:after="0" w:line="288" w:lineRule="auto"/>
        <w:tabs>
          <w:tab w:leader="none" w:pos="2812"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Returning Shares</w:t>
      </w:r>
      <w:r>
        <w:rPr>
          <w:rFonts w:ascii="Times New Roman" w:cs="Times New Roman" w:eastAsia="Times New Roman" w:hAnsi="Times New Roman"/>
          <w:sz w:val="21"/>
          <w:szCs w:val="21"/>
          <w:color w:val="auto"/>
        </w:rPr>
        <w:t>” means shares subject to outstanding stock awards granted under the Prior Plan and that following the Original Effective Date: (A) are not issued because</w:t>
      </w:r>
    </w:p>
    <w:p>
      <w:pPr>
        <w:spacing w:after="0" w:line="3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300" w:right="299"/>
        <w:spacing w:after="0" w:line="247" w:lineRule="auto"/>
        <w:rPr>
          <w:sz w:val="20"/>
          <w:szCs w:val="20"/>
          <w:color w:val="auto"/>
        </w:rPr>
      </w:pPr>
      <w:r>
        <w:rPr>
          <w:rFonts w:ascii="Times New Roman" w:cs="Times New Roman" w:eastAsia="Times New Roman" w:hAnsi="Times New Roman"/>
          <w:sz w:val="21"/>
          <w:szCs w:val="21"/>
          <w:color w:val="auto"/>
        </w:rPr>
        <w:t>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w:t>
      </w:r>
    </w:p>
    <w:p>
      <w:pPr>
        <w:spacing w:after="0" w:line="2" w:lineRule="exact"/>
        <w:rPr>
          <w:sz w:val="20"/>
          <w:szCs w:val="20"/>
          <w:color w:val="auto"/>
        </w:rPr>
      </w:pPr>
    </w:p>
    <w:p>
      <w:pPr>
        <w:ind w:left="1300" w:right="319" w:hanging="8"/>
        <w:spacing w:after="0" w:line="237" w:lineRule="auto"/>
        <w:tabs>
          <w:tab w:leader="none" w:pos="170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withheld or reacquired to satisfy the exercise, strike or purchase price; or (E) are withheld or reacquired to satisfy a tax withholding obligation.</w:t>
      </w:r>
    </w:p>
    <w:p>
      <w:pPr>
        <w:spacing w:after="0" w:line="172" w:lineRule="exact"/>
        <w:rPr>
          <w:rFonts w:ascii="Times New Roman" w:cs="Times New Roman" w:eastAsia="Times New Roman" w:hAnsi="Times New Roman"/>
          <w:sz w:val="22"/>
          <w:szCs w:val="22"/>
          <w:color w:val="auto"/>
        </w:rPr>
      </w:pPr>
    </w:p>
    <w:p>
      <w:pPr>
        <w:jc w:val="both"/>
        <w:ind w:left="1300" w:right="319" w:firstLine="640"/>
        <w:spacing w:after="0" w:line="247" w:lineRule="auto"/>
        <w:tabs>
          <w:tab w:leader="none" w:pos="2380"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RSU</w:t>
      </w:r>
      <w:r>
        <w:rPr>
          <w:rFonts w:ascii="Times New Roman" w:cs="Times New Roman" w:eastAsia="Times New Roman" w:hAnsi="Times New Roman"/>
          <w:sz w:val="22"/>
          <w:szCs w:val="22"/>
          <w:color w:val="auto"/>
        </w:rPr>
        <w:t>” means an Award of restricted stock units representing the right to receive an issuance of shares of Common Stock which is granted pursuant to the terms and conditions of Section 5(a).</w:t>
      </w:r>
    </w:p>
    <w:p>
      <w:pPr>
        <w:spacing w:after="0" w:line="163" w:lineRule="exact"/>
        <w:rPr>
          <w:rFonts w:ascii="Times New Roman" w:cs="Times New Roman" w:eastAsia="Times New Roman" w:hAnsi="Times New Roman"/>
          <w:sz w:val="22"/>
          <w:szCs w:val="22"/>
          <w:b w:val="1"/>
          <w:bCs w:val="1"/>
          <w:color w:val="auto"/>
        </w:rPr>
      </w:pPr>
    </w:p>
    <w:p>
      <w:pPr>
        <w:jc w:val="both"/>
        <w:ind w:left="1300" w:right="299" w:firstLine="640"/>
        <w:spacing w:after="0" w:line="237" w:lineRule="auto"/>
        <w:tabs>
          <w:tab w:leader="none" w:pos="2393"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5" w:lineRule="exact"/>
        <w:rPr>
          <w:rFonts w:ascii="Times New Roman" w:cs="Times New Roman" w:eastAsia="Times New Roman" w:hAnsi="Times New Roman"/>
          <w:sz w:val="22"/>
          <w:szCs w:val="22"/>
          <w:b w:val="1"/>
          <w:bCs w:val="1"/>
          <w:color w:val="auto"/>
        </w:rPr>
      </w:pPr>
    </w:p>
    <w:p>
      <w:pPr>
        <w:ind w:left="1300" w:right="319" w:firstLine="640"/>
        <w:spacing w:after="0" w:line="264" w:lineRule="auto"/>
        <w:tabs>
          <w:tab w:leader="none" w:pos="2825"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16b-3</w:t>
      </w:r>
      <w:r>
        <w:rPr>
          <w:rFonts w:ascii="Times New Roman" w:cs="Times New Roman" w:eastAsia="Times New Roman" w:hAnsi="Times New Roman"/>
          <w:sz w:val="22"/>
          <w:szCs w:val="22"/>
          <w:color w:val="auto"/>
        </w:rPr>
        <w:t>” means Rule 16b-3 promulgated under the Exchange Act or any successor to Rule 16b-3, as in effect from time to time.</w:t>
      </w:r>
    </w:p>
    <w:p>
      <w:pPr>
        <w:spacing w:after="0" w:line="145" w:lineRule="exact"/>
        <w:rPr>
          <w:rFonts w:ascii="Times New Roman" w:cs="Times New Roman" w:eastAsia="Times New Roman" w:hAnsi="Times New Roman"/>
          <w:sz w:val="22"/>
          <w:szCs w:val="22"/>
          <w:b w:val="1"/>
          <w:bCs w:val="1"/>
          <w:color w:val="auto"/>
        </w:rPr>
      </w:pPr>
    </w:p>
    <w:p>
      <w:pPr>
        <w:ind w:left="2380" w:hanging="440"/>
        <w:spacing w:after="0"/>
        <w:tabs>
          <w:tab w:leader="none" w:pos="2380"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405</w:t>
      </w:r>
      <w:r>
        <w:rPr>
          <w:rFonts w:ascii="Times New Roman" w:cs="Times New Roman" w:eastAsia="Times New Roman" w:hAnsi="Times New Roman"/>
          <w:sz w:val="22"/>
          <w:szCs w:val="22"/>
          <w:color w:val="auto"/>
        </w:rPr>
        <w:t>” means Rule 405 promulgated under the Securities Act.</w:t>
      </w:r>
    </w:p>
    <w:p>
      <w:pPr>
        <w:spacing w:after="0" w:line="206" w:lineRule="exact"/>
        <w:rPr>
          <w:rFonts w:ascii="Times New Roman" w:cs="Times New Roman" w:eastAsia="Times New Roman" w:hAnsi="Times New Roman"/>
          <w:sz w:val="22"/>
          <w:szCs w:val="22"/>
          <w:b w:val="1"/>
          <w:bCs w:val="1"/>
          <w:color w:val="auto"/>
        </w:rPr>
      </w:pPr>
    </w:p>
    <w:p>
      <w:pPr>
        <w:ind w:left="1300" w:right="299" w:firstLine="640"/>
        <w:spacing w:after="0" w:line="264" w:lineRule="auto"/>
        <w:tabs>
          <w:tab w:leader="none" w:pos="2812"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means Section 409A of the Code and the regulations and other guidance thereunder.</w:t>
      </w:r>
    </w:p>
    <w:p>
      <w:pPr>
        <w:spacing w:after="0" w:line="145" w:lineRule="exact"/>
        <w:rPr>
          <w:rFonts w:ascii="Times New Roman" w:cs="Times New Roman" w:eastAsia="Times New Roman" w:hAnsi="Times New Roman"/>
          <w:sz w:val="22"/>
          <w:szCs w:val="22"/>
          <w:b w:val="1"/>
          <w:bCs w:val="1"/>
          <w:color w:val="auto"/>
        </w:rPr>
      </w:pPr>
    </w:p>
    <w:p>
      <w:pPr>
        <w:jc w:val="both"/>
        <w:ind w:left="1300" w:right="299" w:firstLine="640"/>
        <w:spacing w:after="0" w:line="241" w:lineRule="auto"/>
        <w:tabs>
          <w:tab w:leader="none" w:pos="2866"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409A Change in Control</w:t>
      </w:r>
      <w:r>
        <w:rPr>
          <w:rFonts w:ascii="Times New Roman" w:cs="Times New Roman" w:eastAsia="Times New Roman" w:hAnsi="Times New Roman"/>
          <w:sz w:val="22"/>
          <w:szCs w:val="22"/>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1" w:lineRule="exact"/>
        <w:rPr>
          <w:rFonts w:ascii="Times New Roman" w:cs="Times New Roman" w:eastAsia="Times New Roman" w:hAnsi="Times New Roman"/>
          <w:sz w:val="22"/>
          <w:szCs w:val="22"/>
          <w:b w:val="1"/>
          <w:bCs w:val="1"/>
          <w:color w:val="auto"/>
        </w:rPr>
      </w:pPr>
    </w:p>
    <w:p>
      <w:pPr>
        <w:ind w:left="2800" w:hanging="860"/>
        <w:spacing w:after="0"/>
        <w:tabs>
          <w:tab w:leader="none" w:pos="2800"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rFonts w:ascii="Times New Roman" w:cs="Times New Roman" w:eastAsia="Times New Roman" w:hAnsi="Times New Roman"/>
          <w:sz w:val="22"/>
          <w:szCs w:val="22"/>
          <w:b w:val="1"/>
          <w:bCs w:val="1"/>
          <w:color w:val="auto"/>
        </w:rPr>
      </w:pPr>
    </w:p>
    <w:p>
      <w:pPr>
        <w:ind w:left="1300" w:right="319" w:firstLine="640"/>
        <w:spacing w:after="0" w:line="264" w:lineRule="auto"/>
        <w:tabs>
          <w:tab w:leader="none" w:pos="2825"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 Reserve</w:t>
      </w:r>
      <w:r>
        <w:rPr>
          <w:rFonts w:ascii="Times New Roman" w:cs="Times New Roman" w:eastAsia="Times New Roman" w:hAnsi="Times New Roman"/>
          <w:sz w:val="22"/>
          <w:szCs w:val="22"/>
          <w:color w:val="auto"/>
        </w:rPr>
        <w:t>” means the number of shares available for issuance under the Plan as set forth in Section 2(a).</w:t>
      </w:r>
    </w:p>
    <w:p>
      <w:pPr>
        <w:spacing w:after="0" w:line="145" w:lineRule="exact"/>
        <w:rPr>
          <w:rFonts w:ascii="Times New Roman" w:cs="Times New Roman" w:eastAsia="Times New Roman" w:hAnsi="Times New Roman"/>
          <w:sz w:val="22"/>
          <w:szCs w:val="22"/>
          <w:b w:val="1"/>
          <w:bCs w:val="1"/>
          <w:color w:val="auto"/>
        </w:rPr>
      </w:pPr>
    </w:p>
    <w:p>
      <w:pPr>
        <w:jc w:val="both"/>
        <w:ind w:left="1300" w:right="299" w:firstLine="640"/>
        <w:spacing w:after="0" w:line="241" w:lineRule="auto"/>
        <w:tabs>
          <w:tab w:leader="none" w:pos="2893"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 Reserve Increase Stock</w:t>
      </w:r>
      <w:r>
        <w:rPr>
          <w:rFonts w:ascii="Times New Roman" w:cs="Times New Roman" w:eastAsia="Times New Roman" w:hAnsi="Times New Roman"/>
          <w:sz w:val="22"/>
          <w:szCs w:val="22"/>
          <w:color w:val="auto"/>
        </w:rPr>
        <w:t>” means, as of the applicable time of measurement, the sum of (i) the number of shares of Common Stock issued and outstanding and (ii) the number of shares of Common Stock issuable upon the exercise of any pre-funded warrants (without regard to any beneficial ownership limitations).</w:t>
      </w:r>
    </w:p>
    <w:p>
      <w:pPr>
        <w:spacing w:after="0" w:line="171" w:lineRule="exact"/>
        <w:rPr>
          <w:rFonts w:ascii="Times New Roman" w:cs="Times New Roman" w:eastAsia="Times New Roman" w:hAnsi="Times New Roman"/>
          <w:sz w:val="22"/>
          <w:szCs w:val="22"/>
          <w:b w:val="1"/>
          <w:bCs w:val="1"/>
          <w:color w:val="auto"/>
        </w:rPr>
      </w:pPr>
    </w:p>
    <w:p>
      <w:pPr>
        <w:ind w:left="1300" w:right="299" w:firstLine="640"/>
        <w:spacing w:after="0" w:line="288" w:lineRule="auto"/>
        <w:tabs>
          <w:tab w:leader="none" w:pos="2812" w:val="left"/>
        </w:tabs>
        <w:numPr>
          <w:ilvl w:val="1"/>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Stock Appreciation Right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SAR</w:t>
      </w:r>
      <w:r>
        <w:rPr>
          <w:rFonts w:ascii="Times New Roman" w:cs="Times New Roman" w:eastAsia="Times New Roman" w:hAnsi="Times New Roman"/>
          <w:sz w:val="21"/>
          <w:szCs w:val="21"/>
          <w:color w:val="auto"/>
        </w:rPr>
        <w:t>” means a right to receive the appreciation on Common Stock that is granted pursuant to the terms and conditions of Section 4.</w:t>
      </w:r>
    </w:p>
    <w:p>
      <w:pPr>
        <w:spacing w:after="0" w:line="122" w:lineRule="exact"/>
        <w:rPr>
          <w:rFonts w:ascii="Times New Roman" w:cs="Times New Roman" w:eastAsia="Times New Roman" w:hAnsi="Times New Roman"/>
          <w:sz w:val="21"/>
          <w:szCs w:val="21"/>
          <w:b w:val="1"/>
          <w:bCs w:val="1"/>
          <w:color w:val="auto"/>
        </w:rPr>
      </w:pPr>
    </w:p>
    <w:p>
      <w:pPr>
        <w:jc w:val="both"/>
        <w:ind w:left="1300" w:right="299" w:firstLine="640"/>
        <w:spacing w:after="0" w:line="241" w:lineRule="auto"/>
        <w:tabs>
          <w:tab w:leader="none" w:pos="2380"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SAR Agreement</w:t>
      </w:r>
      <w:r>
        <w:rPr>
          <w:rFonts w:ascii="Times New Roman" w:cs="Times New Roman" w:eastAsia="Times New Roman" w:hAnsi="Times New Roman"/>
          <w:sz w:val="22"/>
          <w:szCs w:val="22"/>
          <w:color w:val="auto"/>
        </w:rPr>
        <w:t>” means a written agreement between the Company and a holder of a SAR evidencing the terms and conditions of a SAR grant. The SAR Agreement includes the Grant Notice for the SAR and the agreement containing the written summary of the general terms</w:t>
      </w:r>
    </w:p>
    <w:p>
      <w:pPr>
        <w:spacing w:after="0" w:line="200" w:lineRule="exact"/>
        <w:rPr>
          <w:sz w:val="20"/>
          <w:szCs w:val="20"/>
          <w:color w:val="auto"/>
        </w:rPr>
      </w:pPr>
    </w:p>
    <w:p>
      <w:pPr>
        <w:spacing w:after="0" w:line="24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321452236 v8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right="319"/>
        <w:spacing w:after="0" w:line="258" w:lineRule="auto"/>
        <w:rPr>
          <w:sz w:val="20"/>
          <w:szCs w:val="20"/>
          <w:color w:val="auto"/>
        </w:rPr>
      </w:pPr>
      <w:r>
        <w:rPr>
          <w:rFonts w:ascii="Times New Roman" w:cs="Times New Roman" w:eastAsia="Times New Roman" w:hAnsi="Times New Roman"/>
          <w:sz w:val="22"/>
          <w:szCs w:val="22"/>
          <w:color w:val="auto"/>
        </w:rPr>
        <w:t>and conditions applicable to the SAR and which is provided to a Participant along with the Grant Notice. Each SAR Agreement will be subject to the terms and conditions of the Plan.</w:t>
      </w:r>
    </w:p>
    <w:p>
      <w:pPr>
        <w:spacing w:after="0" w:line="152" w:lineRule="exact"/>
        <w:rPr>
          <w:sz w:val="20"/>
          <w:szCs w:val="20"/>
          <w:color w:val="auto"/>
        </w:rPr>
      </w:pPr>
    </w:p>
    <w:p>
      <w:pPr>
        <w:jc w:val="both"/>
        <w:ind w:left="1300" w:right="299" w:firstLine="640"/>
        <w:spacing w:after="0" w:line="247" w:lineRule="auto"/>
        <w:tabs>
          <w:tab w:leader="none" w:pos="2407" w:val="left"/>
        </w:tabs>
        <w:numPr>
          <w:ilvl w:val="1"/>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Subsidiary</w:t>
      </w:r>
      <w:r>
        <w:rPr>
          <w:rFonts w:ascii="Times New Roman" w:cs="Times New Roman" w:eastAsia="Times New Roman" w:hAnsi="Times New Roman"/>
          <w:sz w:val="21"/>
          <w:szCs w:val="21"/>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w:t>
      </w:r>
    </w:p>
    <w:p>
      <w:pPr>
        <w:spacing w:after="0" w:line="2" w:lineRule="exact"/>
        <w:rPr>
          <w:rFonts w:ascii="Times New Roman" w:cs="Times New Roman" w:eastAsia="Times New Roman" w:hAnsi="Times New Roman"/>
          <w:sz w:val="21"/>
          <w:szCs w:val="21"/>
          <w:b w:val="1"/>
          <w:bCs w:val="1"/>
          <w:color w:val="auto"/>
        </w:rPr>
      </w:pPr>
    </w:p>
    <w:p>
      <w:pPr>
        <w:jc w:val="both"/>
        <w:ind w:left="1300" w:right="299" w:hanging="8"/>
        <w:spacing w:after="0" w:line="235" w:lineRule="auto"/>
        <w:tabs>
          <w:tab w:leader="none" w:pos="162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limited liability company or other entity in which the Company has a direct or indirect interest (whether in the form of voting or participation in profits or capital contribution) of more than 50%.</w:t>
      </w:r>
    </w:p>
    <w:p>
      <w:pPr>
        <w:spacing w:after="0" w:line="171" w:lineRule="exact"/>
        <w:rPr>
          <w:rFonts w:ascii="Times New Roman" w:cs="Times New Roman" w:eastAsia="Times New Roman" w:hAnsi="Times New Roman"/>
          <w:sz w:val="22"/>
          <w:szCs w:val="22"/>
          <w:color w:val="auto"/>
        </w:rPr>
      </w:pPr>
    </w:p>
    <w:p>
      <w:pPr>
        <w:jc w:val="both"/>
        <w:ind w:left="1300" w:right="299" w:firstLine="640"/>
        <w:spacing w:after="0" w:line="247" w:lineRule="auto"/>
        <w:tabs>
          <w:tab w:leader="none" w:pos="2825"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Ten Percent Stockholder</w:t>
      </w:r>
      <w:r>
        <w:rPr>
          <w:rFonts w:ascii="Times New Roman" w:cs="Times New Roman" w:eastAsia="Times New Roman" w:hAnsi="Times New Roman"/>
          <w:sz w:val="22"/>
          <w:szCs w:val="22"/>
          <w:color w:val="auto"/>
        </w:rPr>
        <w:t>” means a person who Owns (or is deemed to Own pursuant to Section 424(d) of the Code) stock possessing more than 10% of the total combined voting power of all classes of stock of the Company or any Affiliate.</w:t>
      </w:r>
    </w:p>
    <w:p>
      <w:pPr>
        <w:spacing w:after="0" w:line="163" w:lineRule="exact"/>
        <w:rPr>
          <w:rFonts w:ascii="Times New Roman" w:cs="Times New Roman" w:eastAsia="Times New Roman" w:hAnsi="Times New Roman"/>
          <w:sz w:val="22"/>
          <w:szCs w:val="22"/>
          <w:b w:val="1"/>
          <w:bCs w:val="1"/>
          <w:color w:val="auto"/>
        </w:rPr>
      </w:pPr>
    </w:p>
    <w:p>
      <w:pPr>
        <w:jc w:val="both"/>
        <w:ind w:left="1300" w:right="299" w:firstLine="640"/>
        <w:spacing w:after="0" w:line="241" w:lineRule="auto"/>
        <w:tabs>
          <w:tab w:leader="none" w:pos="2825"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Policy</w:t>
      </w:r>
      <w:r>
        <w:rPr>
          <w:rFonts w:ascii="Times New Roman" w:cs="Times New Roman" w:eastAsia="Times New Roman" w:hAnsi="Times New Roman"/>
          <w:sz w:val="22"/>
          <w:szCs w:val="22"/>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71" w:lineRule="exact"/>
        <w:rPr>
          <w:rFonts w:ascii="Times New Roman" w:cs="Times New Roman" w:eastAsia="Times New Roman" w:hAnsi="Times New Roman"/>
          <w:sz w:val="22"/>
          <w:szCs w:val="22"/>
          <w:b w:val="1"/>
          <w:bCs w:val="1"/>
          <w:color w:val="auto"/>
        </w:rPr>
      </w:pPr>
    </w:p>
    <w:p>
      <w:pPr>
        <w:jc w:val="both"/>
        <w:ind w:left="1300" w:right="299" w:firstLine="640"/>
        <w:spacing w:after="0" w:line="247" w:lineRule="auto"/>
        <w:tabs>
          <w:tab w:leader="none" w:pos="2812"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Unvested Non-Exempt Award</w:t>
      </w:r>
      <w:r>
        <w:rPr>
          <w:rFonts w:ascii="Times New Roman" w:cs="Times New Roman" w:eastAsia="Times New Roman" w:hAnsi="Times New Roman"/>
          <w:sz w:val="22"/>
          <w:szCs w:val="22"/>
          <w:color w:val="auto"/>
        </w:rPr>
        <w:t>” means the portion of any Non-Exempt Award that had not vested in accordance with its terms upon or prior to the date of any Corporate Transaction.</w:t>
      </w:r>
    </w:p>
    <w:p>
      <w:pPr>
        <w:spacing w:after="0" w:line="163" w:lineRule="exact"/>
        <w:rPr>
          <w:rFonts w:ascii="Times New Roman" w:cs="Times New Roman" w:eastAsia="Times New Roman" w:hAnsi="Times New Roman"/>
          <w:sz w:val="22"/>
          <w:szCs w:val="22"/>
          <w:b w:val="1"/>
          <w:bCs w:val="1"/>
          <w:color w:val="auto"/>
        </w:rPr>
      </w:pPr>
    </w:p>
    <w:p>
      <w:pPr>
        <w:jc w:val="both"/>
        <w:ind w:left="1300" w:right="319" w:firstLine="640"/>
        <w:spacing w:after="0" w:line="288" w:lineRule="auto"/>
        <w:tabs>
          <w:tab w:leader="none" w:pos="2839" w:val="left"/>
        </w:tabs>
        <w:numPr>
          <w:ilvl w:val="1"/>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Vested Non-Exempt Award</w:t>
      </w:r>
      <w:r>
        <w:rPr>
          <w:rFonts w:ascii="Times New Roman" w:cs="Times New Roman" w:eastAsia="Times New Roman" w:hAnsi="Times New Roman"/>
          <w:sz w:val="21"/>
          <w:szCs w:val="21"/>
          <w:color w:val="auto"/>
        </w:rPr>
        <w:t>” means the portion of any Non-Exempt Award that had vested in accordance with its terms upon or prior to the date of a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615315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19"/>
          </w:cols>
          <w:pgMar w:left="440" w:top="122" w:right="1440"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lowerRoman"/>
      <w:start w:val="1"/>
    </w:lvl>
  </w:abstractNum>
  <w:abstractNum w:abstractNumId="2">
    <w:nsid w:val="3006C83E"/>
    <w:multiLevelType w:val="hybridMultilevel"/>
    <w:lvl w:ilvl="0">
      <w:lvlJc w:val="left"/>
      <w:lvlText w:val="%1."/>
      <w:numFmt w:val="decimal"/>
      <w:start w:val="1"/>
    </w:lvl>
    <w:lvl w:ilvl="1">
      <w:lvlJc w:val="left"/>
      <w:lvlText w:val="(%2)"/>
      <w:numFmt w:val="lowerLetter"/>
      <w:start w:val="1"/>
    </w:lvl>
  </w:abstractNum>
  <w:abstractNum w:abstractNumId="3">
    <w:nsid w:val="614FD4A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
    <w:nsid w:val="419AC24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
    <w:nsid w:val="5577F8E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6">
    <w:nsid w:val="440BADF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4"/>
    </w:lvl>
  </w:abstractNum>
  <w:abstractNum w:abstractNumId="7">
    <w:nsid w:val="5072367"/>
    <w:multiLevelType w:val="hybridMultilevel"/>
    <w:lvl w:ilvl="0">
      <w:lvlJc w:val="left"/>
      <w:lvlText w:val="%1."/>
      <w:numFmt w:val="decimal"/>
      <w:start w:val="4"/>
    </w:lvl>
  </w:abstractNum>
  <w:abstractNum w:abstractNumId="8">
    <w:nsid w:val="3804823E"/>
    <w:multiLevelType w:val="hybridMultilevel"/>
    <w:lvl w:ilvl="0">
      <w:lvlJc w:val="left"/>
      <w:lvlText w:val="(%1)"/>
      <w:numFmt w:val="lowerLetter"/>
      <w:start w:val="1"/>
    </w:lvl>
    <w:lvl w:ilvl="1">
      <w:lvlJc w:val="left"/>
      <w:lvlText w:val="(%2)"/>
      <w:numFmt w:val="lowerRoman"/>
      <w:start w:val="1"/>
    </w:lvl>
  </w:abstractNum>
  <w:abstractNum w:abstractNumId="9">
    <w:nsid w:val="77465F01"/>
    <w:multiLevelType w:val="hybridMultilevel"/>
    <w:lvl w:ilvl="0">
      <w:lvlJc w:val="left"/>
      <w:lvlText w:val="%1"/>
      <w:numFmt w:val="lowerLetter"/>
      <w:start w:val="1"/>
    </w:lvl>
    <w:lvl w:ilvl="1">
      <w:lvlJc w:val="left"/>
      <w:lvlText w:val="(%2)"/>
      <w:numFmt w:val="lowerRoman"/>
      <w:start w:val="4"/>
    </w:lvl>
  </w:abstractNum>
  <w:abstractNum w:abstractNumId="10">
    <w:nsid w:val="7724C67E"/>
    <w:multiLevelType w:val="hybridMultilevel"/>
    <w:lvl w:ilvl="0">
      <w:lvlJc w:val="left"/>
      <w:lvlText w:val="(%1)"/>
      <w:numFmt w:val="lowerLetter"/>
      <w:start w:val="4"/>
    </w:lvl>
    <w:lvl w:ilvl="1">
      <w:lvlJc w:val="left"/>
      <w:lvlText w:val="(%2)"/>
      <w:numFmt w:val="lowerRoman"/>
      <w:start w:val="1"/>
    </w:lvl>
  </w:abstractNum>
  <w:abstractNum w:abstractNumId="11">
    <w:nsid w:val="5C482A97"/>
    <w:multiLevelType w:val="hybridMultilevel"/>
    <w:lvl w:ilvl="0">
      <w:lvlJc w:val="left"/>
      <w:lvlText w:val="(%1)"/>
      <w:numFmt w:val="lowerLetter"/>
      <w:start w:val="6"/>
    </w:lvl>
    <w:lvl w:ilvl="1">
      <w:lvlJc w:val="left"/>
      <w:lvlText w:val="(%2)"/>
      <w:numFmt w:val="lowerRoman"/>
      <w:start w:val="1"/>
    </w:lvl>
  </w:abstractNum>
  <w:abstractNum w:abstractNumId="12">
    <w:nsid w:val="2463B9EA"/>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decimal"/>
      <w:start w:val="1"/>
    </w:lvl>
  </w:abstractNum>
  <w:abstractNum w:abstractNumId="13">
    <w:nsid w:val="5E884AD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4">
    <w:nsid w:val="51EAD36B"/>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15">
    <w:nsid w:val="2D517796"/>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16">
    <w:nsid w:val="580BD78F"/>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2"/>
    </w:lvl>
  </w:abstractNum>
  <w:abstractNum w:abstractNumId="17">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8">
    <w:nsid w:val="385558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
    <w:nsid w:val="70A64E2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
    <w:nsid w:val="6A2342EC"/>
    <w:multiLevelType w:val="hybridMultilevel"/>
    <w:lvl w:ilvl="0">
      <w:lvlJc w:val="left"/>
      <w:lvlText w:val="(%1)"/>
      <w:numFmt w:val="lowerLetter"/>
      <w:start w:val="3"/>
    </w:lvl>
    <w:lvl w:ilvl="1">
      <w:lvlJc w:val="left"/>
      <w:lvlText w:val="(%2)"/>
      <w:numFmt w:val="lowerRoman"/>
      <w:start w:val="1"/>
    </w:lvl>
  </w:abstractNum>
  <w:abstractNum w:abstractNumId="21">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2">
    <w:nsid w:val="1D4ED4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3">
    <w:nsid w:val="725A06F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
    <w:nsid w:val="2CD89A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6">
    <w:nsid w:val="7A6D8D3C"/>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0"/>
    </w:lvl>
  </w:abstractNum>
  <w:abstractNum w:abstractNumId="27">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
    <w:nsid w:val="542289EC"/>
    <w:multiLevelType w:val="hybridMultilevel"/>
    <w:lvl w:ilvl="0">
      <w:lvlJc w:val="left"/>
      <w:lvlText w:val="%1"/>
      <w:numFmt w:val="decimal"/>
      <w:start w:val="1"/>
    </w:lvl>
    <w:lvl w:ilvl="1">
      <w:lvlJc w:val="left"/>
      <w:lvlText w:val="(%2)"/>
      <w:numFmt w:val="lowerLetter"/>
      <w:start w:val="4"/>
    </w:lvl>
  </w:abstractNum>
  <w:abstractNum w:abstractNumId="29">
    <w:nsid w:val="6DE91B18"/>
    <w:multiLevelType w:val="hybridMultilevel"/>
    <w:lvl w:ilvl="0">
      <w:lvlJc w:val="left"/>
      <w:lvlText w:val="%1."/>
      <w:numFmt w:val="decimal"/>
      <w:start w:val="8"/>
    </w:lvl>
    <w:lvl w:ilvl="1">
      <w:lvlJc w:val="left"/>
      <w:lvlText w:val="(%2)"/>
      <w:numFmt w:val="lowerLetter"/>
      <w:start w:val="1"/>
    </w:lvl>
  </w:abstractNum>
  <w:abstractNum w:abstractNumId="30">
    <w:nsid w:val="38437FDB"/>
    <w:multiLevelType w:val="hybridMultilevel"/>
    <w:lvl w:ilvl="0">
      <w:lvlJc w:val="left"/>
      <w:lvlText w:val="%1"/>
      <w:numFmt w:val="decimal"/>
      <w:start w:val="1"/>
    </w:lvl>
    <w:lvl w:ilvl="1">
      <w:lvlJc w:val="left"/>
      <w:lvlText w:val="(%2)"/>
      <w:numFmt w:val="lowerLetter"/>
      <w:start w:val="4"/>
    </w:lvl>
  </w:abstractNum>
  <w:abstractNum w:abstractNumId="31">
    <w:nsid w:val="7644A45C"/>
    <w:multiLevelType w:val="hybridMultilevel"/>
    <w:lvl w:ilvl="0">
      <w:lvlJc w:val="left"/>
      <w:lvlText w:val="%1."/>
      <w:numFmt w:val="decimal"/>
      <w:start w:val="9"/>
    </w:lvl>
    <w:lvl w:ilvl="1">
      <w:lvlJc w:val="left"/>
      <w:lvlText w:val="(%2)"/>
      <w:numFmt w:val="lowerLetter"/>
      <w:start w:val="1"/>
    </w:lvl>
  </w:abstractNum>
  <w:abstractNum w:abstractNumId="32">
    <w:nsid w:val="32FFF902"/>
    <w:multiLevelType w:val="hybridMultilevel"/>
    <w:lvl w:ilvl="0">
      <w:lvlJc w:val="left"/>
      <w:lvlText w:val="(%1)"/>
      <w:numFmt w:val="lowerLetter"/>
      <w:start w:val="4"/>
    </w:lvl>
  </w:abstractNum>
  <w:abstractNum w:abstractNumId="33">
    <w:nsid w:val="684A481A"/>
    <w:multiLevelType w:val="hybridMultilevel"/>
    <w:lvl w:ilvl="0">
      <w:lvlJc w:val="left"/>
      <w:lvlText w:val="(%1)"/>
      <w:numFmt w:val="lowerLetter"/>
      <w:start w:val="9"/>
    </w:lvl>
  </w:abstractNum>
  <w:abstractNum w:abstractNumId="34">
    <w:nsid w:val="579478FE"/>
    <w:multiLevelType w:val="hybridMultilevel"/>
    <w:lvl w:ilvl="0">
      <w:lvlJc w:val="left"/>
      <w:lvlText w:val="%1"/>
      <w:numFmt w:val="decimal"/>
      <w:start w:val="1"/>
    </w:lvl>
    <w:lvl w:ilvl="1">
      <w:lvlJc w:val="left"/>
      <w:lvlText w:val="(%2)"/>
      <w:numFmt w:val="lowerLetter"/>
      <w:start w:val="14"/>
    </w:lvl>
  </w:abstractNum>
  <w:abstractNum w:abstractNumId="35">
    <w:nsid w:val="749ABB43"/>
    <w:multiLevelType w:val="hybridMultilevel"/>
    <w:lvl w:ilvl="0">
      <w:lvlJc w:val="left"/>
      <w:lvlText w:val="%1."/>
      <w:numFmt w:val="decimal"/>
      <w:start w:val="10"/>
    </w:lvl>
    <w:lvl w:ilvl="1">
      <w:lvlJc w:val="left"/>
      <w:lvlText w:val="(%2)"/>
      <w:numFmt w:val="lowerLetter"/>
      <w:start w:val="1"/>
    </w:lvl>
  </w:abstractNum>
  <w:abstractNum w:abstractNumId="36">
    <w:nsid w:val="3DC240F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7">
    <w:nsid w:val="1BA026FA"/>
    <w:multiLevelType w:val="hybridMultilevel"/>
    <w:lvl w:ilvl="0">
      <w:lvlJc w:val="left"/>
      <w:lvlText w:val="%1"/>
      <w:numFmt w:val="lowerRoman"/>
      <w:start w:val="1"/>
    </w:lvl>
    <w:lvl w:ilvl="1">
      <w:lvlJc w:val="left"/>
      <w:lvlText w:val="(%2)"/>
      <w:numFmt w:val="decimal"/>
      <w:start w:val="2"/>
    </w:lvl>
  </w:abstractNum>
  <w:abstractNum w:abstractNumId="38">
    <w:nsid w:val="79A1DEAA"/>
    <w:multiLevelType w:val="hybridMultilevel"/>
    <w:lvl w:ilvl="0">
      <w:lvlJc w:val="left"/>
      <w:lvlText w:val="(%1)"/>
      <w:numFmt w:val="lowerRoman"/>
      <w:start w:val="2"/>
    </w:lvl>
    <w:lvl w:ilvl="1">
      <w:lvlJc w:val="left"/>
      <w:lvlText w:val="(%2)"/>
      <w:numFmt w:val="decimal"/>
      <w:start w:val="1"/>
    </w:lvl>
  </w:abstractNum>
  <w:abstractNum w:abstractNumId="39">
    <w:nsid w:val="75C6C33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40">
    <w:nsid w:val="12E685FB"/>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41">
    <w:nsid w:val="70C6A529"/>
    <w:multiLevelType w:val="hybridMultilevel"/>
    <w:lvl w:ilvl="0">
      <w:lvlJc w:val="left"/>
      <w:lvlText w:val="%1"/>
      <w:numFmt w:val="decimal"/>
      <w:start w:val="1"/>
    </w:lvl>
    <w:lvl w:ilvl="1">
      <w:lvlJc w:val="left"/>
      <w:lvlText w:val="(%2)"/>
      <w:numFmt w:val="lowerRoman"/>
      <w:start w:val="4"/>
    </w:lvl>
  </w:abstractNum>
  <w:abstractNum w:abstractNumId="42">
    <w:nsid w:val="520EEDD1"/>
    <w:multiLevelType w:val="hybridMultilevel"/>
    <w:lvl w:ilvl="0">
      <w:lvlJc w:val="left"/>
      <w:lvlText w:val="%1."/>
      <w:numFmt w:val="decimal"/>
      <w:start w:val="12"/>
    </w:lvl>
    <w:lvl w:ilvl="1">
      <w:lvlJc w:val="left"/>
      <w:lvlText w:val="%2"/>
      <w:numFmt w:val="lowerRoman"/>
      <w:start w:val="1"/>
    </w:lvl>
  </w:abstractNum>
  <w:abstractNum w:abstractNumId="43">
    <w:nsid w:val="374A3FE6"/>
    <w:multiLevelType w:val="hybridMultilevel"/>
    <w:lvl w:ilvl="0">
      <w:lvlJc w:val="left"/>
      <w:lvlText w:val="%1."/>
      <w:numFmt w:val="decimal"/>
      <w:start w:val="13"/>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9"/>
    </w:lvl>
  </w:abstractNum>
  <w:abstractNum w:abstractNumId="46">
    <w:nsid w:val="649BB77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47">
    <w:nsid w:val="275AC794"/>
    <w:multiLevelType w:val="hybridMultilevel"/>
    <w:lvl w:ilvl="0">
      <w:lvlJc w:val="left"/>
      <w:lvlText w:val="(%1)"/>
      <w:numFmt w:val="lowerRoman"/>
      <w:start w:val="3"/>
    </w:lvl>
  </w:abstractNum>
  <w:abstractNum w:abstractNumId="48">
    <w:nsid w:val="39386575"/>
    <w:multiLevelType w:val="hybridMultilevel"/>
    <w:lvl w:ilvl="0">
      <w:lvlJc w:val="left"/>
      <w:lvlText w:val="(%1)"/>
      <w:numFmt w:val="lowerLetter"/>
      <w:start w:val="11"/>
    </w:lvl>
  </w:abstractNum>
  <w:abstractNum w:abstractNumId="49">
    <w:nsid w:val="1CF10FD8"/>
    <w:multiLevelType w:val="hybridMultilevel"/>
    <w:lvl w:ilvl="0">
      <w:lvlJc w:val="left"/>
      <w:lvlText w:val="(%1)"/>
      <w:numFmt w:val="lowerLetter"/>
      <w:start w:val="17"/>
    </w:lvl>
    <w:lvl w:ilvl="1">
      <w:lvlJc w:val="left"/>
      <w:lvlText w:val="(%2)"/>
      <w:numFmt w:val="lowerRoman"/>
      <w:start w:val="1"/>
    </w:lvl>
  </w:abstractNum>
  <w:abstractNum w:abstractNumId="50">
    <w:nsid w:val="180115BE"/>
    <w:multiLevelType w:val="hybridMultilevel"/>
    <w:lvl w:ilvl="0">
      <w:lvlJc w:val="left"/>
      <w:lvlText w:val="%1"/>
      <w:numFmt w:val="decimal"/>
      <w:start w:val="1"/>
    </w:lvl>
    <w:lvl w:ilvl="1">
      <w:lvlJc w:val="left"/>
      <w:lvlText w:val="(%2)"/>
      <w:numFmt w:val="lowerLetter"/>
      <w:start w:val="20"/>
    </w:lvl>
  </w:abstractNum>
  <w:abstractNum w:abstractNumId="51">
    <w:nsid w:val="235BA861"/>
    <w:multiLevelType w:val="hybridMultilevel"/>
    <w:lvl w:ilvl="0">
      <w:lvlJc w:val="left"/>
      <w:lvlText w:val="(%1)"/>
      <w:numFmt w:val="decimal"/>
      <w:start w:val="3"/>
    </w:lvl>
    <w:lvl w:ilvl="1">
      <w:lvlJc w:val="left"/>
      <w:lvlText w:val="(%2)"/>
      <w:numFmt w:val="lowerLetter"/>
      <w:start w:val="22"/>
    </w:lvl>
  </w:abstractNum>
  <w:abstractNum w:abstractNumId="52">
    <w:nsid w:val="47398C89"/>
    <w:multiLevelType w:val="hybridMultilevel"/>
    <w:lvl w:ilvl="0">
      <w:lvlJc w:val="left"/>
      <w:lvlText w:val="%1"/>
      <w:numFmt w:val="lowerLetter"/>
      <w:start w:val="1"/>
    </w:lvl>
    <w:lvl w:ilvl="1">
      <w:lvlJc w:val="left"/>
      <w:lvlText w:val="(%2)"/>
      <w:numFmt w:val="lowerLetter"/>
      <w:start w:val="27"/>
    </w:lvl>
    <w:lvl w:ilvl="2">
      <w:lvlJc w:val="left"/>
      <w:lvlText w:val="%3"/>
      <w:numFmt w:val="lowerLetter"/>
      <w:start w:val="1"/>
    </w:lvl>
  </w:abstractNum>
  <w:abstractNum w:abstractNumId="53">
    <w:nsid w:val="354FE9F9"/>
    <w:multiLevelType w:val="hybridMultilevel"/>
    <w:lvl w:ilvl="0">
      <w:lvlJc w:val="left"/>
      <w:lvlText w:val="(%1)"/>
      <w:numFmt w:val="lowerLetter"/>
      <w:start w:val="61"/>
    </w:lvl>
    <w:lvl w:ilvl="1">
      <w:lvlJc w:val="left"/>
      <w:lvlText w:val="(%2)"/>
      <w:numFmt w:val="lowerLetter"/>
      <w:start w:val="28"/>
    </w:lvl>
    <w:lvl w:ilvl="2">
      <w:lvlJc w:val="left"/>
      <w:lvlText w:val="(%3)"/>
      <w:numFmt w:val="lowerLetter"/>
      <w:start w:val="9"/>
    </w:lvl>
  </w:abstractNum>
  <w:abstractNum w:abstractNumId="54">
    <w:nsid w:val="15B5AF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5">
    <w:nsid w:val="741226BB"/>
    <w:multiLevelType w:val="hybridMultilevel"/>
    <w:lvl w:ilvl="0">
      <w:lvlJc w:val="left"/>
      <w:lvlText w:val="%1"/>
      <w:numFmt w:val="lowerLetter"/>
      <w:start w:val="1"/>
    </w:lvl>
    <w:lvl w:ilvl="1">
      <w:lvlJc w:val="left"/>
      <w:lvlText w:val="(%2)"/>
      <w:numFmt w:val="lowerLetter"/>
      <w:start w:val="29"/>
    </w:lvl>
    <w:lvl w:ilvl="2">
      <w:lvlJc w:val="left"/>
      <w:lvlText w:val="%3"/>
      <w:numFmt w:val="lowerRoman"/>
      <w:start w:val="1"/>
    </w:lvl>
  </w:abstractNum>
  <w:abstractNum w:abstractNumId="56">
    <w:nsid w:val="D34B6A8"/>
    <w:multiLevelType w:val="hybridMultilevel"/>
    <w:lvl w:ilvl="0">
      <w:lvlJc w:val="left"/>
      <w:lvlText w:val="(%1)"/>
      <w:numFmt w:val="lowerLetter"/>
      <w:start w:val="4"/>
    </w:lvl>
    <w:lvl w:ilvl="1">
      <w:lvlJc w:val="left"/>
      <w:lvlText w:val="(%2)"/>
      <w:numFmt w:val="lowerLetter"/>
      <w:start w:val="30"/>
    </w:lvl>
    <w:lvl w:ilvl="2">
      <w:lvlJc w:val="left"/>
      <w:lvlText w:val="%3"/>
      <w:numFmt w:val="lowerRoman"/>
      <w:start w:val="1"/>
    </w:lvl>
  </w:abstractNum>
  <w:abstractNum w:abstractNumId="57">
    <w:nsid w:val="10233C99"/>
    <w:multiLevelType w:val="hybridMultilevel"/>
    <w:lvl w:ilvl="0">
      <w:lvlJc w:val="left"/>
      <w:lvlText w:val="(%1)"/>
      <w:numFmt w:val="lowerLetter"/>
      <w:start w:val="35"/>
    </w:lvl>
  </w:abstractNum>
  <w:abstractNum w:abstractNumId="58">
    <w:nsid w:val="3F6AB60F"/>
    <w:multiLevelType w:val="hybridMultilevel"/>
    <w:lvl w:ilvl="0">
      <w:lvlJc w:val="left"/>
      <w:lvlText w:val="(%1)"/>
      <w:numFmt w:val="lowerLetter"/>
      <w:start w:val="45"/>
    </w:lvl>
  </w:abstractNum>
  <w:abstractNum w:abstractNumId="59">
    <w:nsid w:val="61574095"/>
    <w:multiLevelType w:val="hybridMultilevel"/>
    <w:lvl w:ilvl="0">
      <w:lvlJc w:val="left"/>
      <w:lvlText w:val="(%1)"/>
      <w:numFmt w:val="lowerLetter"/>
      <w:start w:val="51"/>
    </w:lvl>
  </w:abstractNum>
  <w:abstractNum w:abstractNumId="60">
    <w:nsid w:val="7E0C57B1"/>
    <w:multiLevelType w:val="hybridMultilevel"/>
    <w:lvl w:ilvl="0">
      <w:lvlJc w:val="left"/>
      <w:lvlText w:val="(%1)"/>
      <w:numFmt w:val="lowerLetter"/>
      <w:start w:val="53"/>
    </w:lvl>
  </w:abstractNum>
  <w:abstractNum w:abstractNumId="61">
    <w:nsid w:val="77AE35EB"/>
    <w:multiLevelType w:val="hybridMultilevel"/>
    <w:lvl w:ilvl="0">
      <w:lvlJc w:val="left"/>
      <w:lvlText w:val="(%1)"/>
      <w:numFmt w:val="upperLetter"/>
      <w:start w:val="4"/>
    </w:lvl>
    <w:lvl w:ilvl="1">
      <w:lvlJc w:val="left"/>
      <w:lvlText w:val="(%2)"/>
      <w:numFmt w:val="lowerLetter"/>
      <w:start w:val="61"/>
    </w:lvl>
  </w:abstractNum>
  <w:abstractNum w:abstractNumId="62">
    <w:nsid w:val="579BE4F1"/>
    <w:multiLevelType w:val="hybridMultilevel"/>
    <w:lvl w:ilvl="0">
      <w:lvlJc w:val="left"/>
      <w:lvlText w:val="%1"/>
      <w:numFmt w:val="lowerLetter"/>
      <w:start w:val="1"/>
    </w:lvl>
    <w:lvl w:ilvl="1">
      <w:lvlJc w:val="left"/>
      <w:lvlText w:val="(%2)"/>
      <w:numFmt w:val="lowerLetter"/>
      <w:start w:val="72"/>
    </w:lvl>
  </w:abstractNum>
  <w:abstractNum w:abstractNumId="63">
    <w:nsid w:val="310C50B3"/>
    <w:multiLevelType w:val="hybridMultilevel"/>
    <w:lvl w:ilvl="0">
      <w:lvlJc w:val="left"/>
      <w:lvlText w:val="(%1)"/>
      <w:numFmt w:val="lowerLetter"/>
      <w:start w:val="35"/>
    </w:lvl>
    <w:lvl w:ilvl="1">
      <w:lvlJc w:val="left"/>
      <w:lvlText w:val="(%2)"/>
      <w:numFmt w:val="lowerLetter"/>
      <w:start w:val="7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2026-06-12T15:19:05Z</dcterms:created>
  <dcterms:modified xsi:type="dcterms:W3CDTF">2026-06-12T15:19:05Z</dcterms:modified>
</cp:coreProperties>
</file>